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2AA6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FE0FE42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拟投标包号</w:t>
            </w:r>
            <w:bookmarkStart w:id="0" w:name="_GoBack"/>
            <w:bookmarkEnd w:id="0"/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3D4B77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797BE60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3C7B7A0B"/>
    <w:rsid w:val="58F71D37"/>
    <w:rsid w:val="6414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925</Words>
  <Characters>977</Characters>
  <Lines>68</Lines>
  <Paragraphs>107</Paragraphs>
  <TotalTime>18</TotalTime>
  <ScaleCrop>false</ScaleCrop>
  <LinksUpToDate>false</LinksUpToDate>
  <CharactersWithSpaces>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2025-04-21T03:20:38Z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