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sz w:val="21"/>
                <w:szCs w:val="21"/>
              </w:rPr>
              <w:t>（1）</w:t>
            </w:r>
            <w:bookmarkEnd w:id="0"/>
            <w:r>
              <w:rPr>
                <w:rFonts w:hint="eastAsia"/>
                <w:sz w:val="21"/>
                <w:szCs w:val="21"/>
              </w:rPr>
              <w:t>须具有有效的检验检测机构CMA资质认定证书（CMA资质不能涵盖全部检测因子的，允许委托有资质的检测机构检测，但应在响应文件中注明）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供应商是否具有有效的检验检测机构CMA资质认定证书：是（）否（）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8464B70"/>
    <w:rsid w:val="1F5C123B"/>
    <w:rsid w:val="2CE36ACB"/>
    <w:rsid w:val="3C7B7A0B"/>
    <w:rsid w:val="58F71D37"/>
    <w:rsid w:val="67BC1D30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619</Words>
  <Characters>674</Characters>
  <Lines>68</Lines>
  <Paragraphs>107</Paragraphs>
  <TotalTime>4</TotalTime>
  <ScaleCrop>false</ScaleCrop>
  <LinksUpToDate>false</LinksUpToDate>
  <CharactersWithSpaces>692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2025-06-20T09:34:42Z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B8357D3A8F314C9CA2FE4F1B08B47C77_13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