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0A208">
      <w:pPr>
        <w:spacing w:line="360" w:lineRule="auto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采购清单</w:t>
      </w:r>
    </w:p>
    <w:tbl>
      <w:tblPr>
        <w:tblStyle w:val="2"/>
        <w:tblW w:w="91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532"/>
        <w:gridCol w:w="5182"/>
        <w:gridCol w:w="840"/>
        <w:gridCol w:w="904"/>
      </w:tblGrid>
      <w:tr w14:paraId="5BC7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0C3B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医用床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帘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5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面料：高密医用帘，门幅280cm（上网格60cm左右），检验依据：GB/T18401-2010《国家纺织产品基本安全技术规范》。</w:t>
            </w:r>
          </w:p>
          <w:p w14:paraId="51E7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1.材质：100%聚酯纤维；                                                             2.克重：≥250g/㎡±5；</w:t>
            </w:r>
          </w:p>
          <w:p w14:paraId="5CD6B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3.耐水色牢度(级)实测结果：变色：≥3级；沾色：≥3级，检测方法：GB/T5713-2013；</w:t>
            </w:r>
          </w:p>
          <w:p w14:paraId="18BF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4.pH值实测结果：4.5-7.5，检测方法：GB/T7573-2009；</w:t>
            </w:r>
          </w:p>
          <w:p w14:paraId="2E237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5.甲醛含量(mg/kg) 实测结果：未检测出，检测方法：GB/T2912.1-2009；</w:t>
            </w:r>
          </w:p>
          <w:p w14:paraId="6BD76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6.阻燃：符合2025年实施的《阻燃织物》装饰用织物B1级，检测方法：GB/T17591-2025；</w:t>
            </w:r>
          </w:p>
          <w:p w14:paraId="0D98E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7.抗菌：水洗后，金黄色葡萄球菌≥90%，检测方法：GB/T20944.3-2008；                      9.异味：无异味，检测方法：GB/T18401-2010；                                           10.耐唾液色牢度≥3级,检测方法：GB/T18886-2019；                                                         11.耐氯漂色牢度:≥3级,检测方法：GB/T7069-1997</w:t>
            </w:r>
          </w:p>
          <w:p w14:paraId="0895A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12.可分解致癌芳香胺染料(mg/kg) 实测结果：未检出，检测方法：GB/T17592-2011；</w:t>
            </w:r>
          </w:p>
          <w:p w14:paraId="0B122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围帘工艺要求：</w:t>
            </w:r>
          </w:p>
          <w:p w14:paraId="3FC1B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成品高度：2.5m-3m，宽度约6.3m，离地高度20-30cm，围帘颜色与病房内地面或电视柜颜色保持一致，增加阜外紫元素。</w:t>
            </w:r>
          </w:p>
          <w:p w14:paraId="1EE0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围帘折比：1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1.5倍布；隔帘底边折边为宽度不小于8cm，两侧边折边宽度不小于4cm；窗帘缝纫线与布料颜色相同，针距4针/cm不断线；窗帘绑带加衬定型，缝制在侧边，用不锈钢扣式；窗帘采用10cm专用有纺布带，耐高温、抗氧化、不掉皮、不脱色；帘子须高温定型，单独包装不损坏、不弄脏、平整、不起皱、不褪色、垂感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带☆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号部分为必须满足项，产品质量须符合国家规定的安全技术标准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提供2025年10月1日以来的国家认可的检测机构（省级及以上）出具的检测报告，报告可供查伪（原件备查），每有一项不满足视为无效响应文件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F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04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1162</w:t>
            </w:r>
          </w:p>
        </w:tc>
      </w:tr>
      <w:tr w14:paraId="60C9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轨道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8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静音铝合金型材：依据GB/T6892-2015《一般工业用铝及铝合金挤压型材》要求标准检测。</w:t>
            </w:r>
          </w:p>
          <w:p w14:paraId="68DD6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1.外观质量：表面光滑、无凹陷、无皱纹、无划痕、气泡等缺陷损伤。</w:t>
            </w:r>
          </w:p>
          <w:p w14:paraId="3456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2.壁厚尺寸：厚≥1.2mm，承重20-30kg；</w:t>
            </w:r>
          </w:p>
          <w:p w14:paraId="7EBAA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3.力学性能：弯曲度：≤1.0mm；扭拧度：≤1.0mm；</w:t>
            </w:r>
          </w:p>
          <w:p w14:paraId="591AA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4.抗拉强度：≥160N/mm2;</w:t>
            </w:r>
          </w:p>
          <w:p w14:paraId="6164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5.非比例延伸强度：≥160N/mm2；</w:t>
            </w:r>
          </w:p>
          <w:p w14:paraId="602E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6.附着性：干附着性0级，湿附着性0级；</w:t>
            </w:r>
          </w:p>
          <w:p w14:paraId="66A0A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7.化学成分:①.镁在0.4-0.8%；②.硅在 0.2-0.5%；③.铁≤0.3%；④.铜≤0.1%；⑤.锌≤0.1%；⑥.锰≤0.1%；⑦.铬≤0.1%；⑧.钛≤0.1%；（需提供符合检测标准要求的相关产品检验报告）。</w:t>
            </w:r>
          </w:p>
          <w:p w14:paraId="30253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安装要求：轨道及各类配件颜色与吊顶颜色保持一致，长度约4.2m/套，轨道安装要精准定位，稳固承重，轨道固定点间距约30-50cm，轨道两端10cm内必须有固定点，防止受力变形用水平仪校准，确保轨道安装后无倾斜，窗帘滑动不会卡顿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9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0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1162</w:t>
            </w:r>
          </w:p>
        </w:tc>
      </w:tr>
    </w:tbl>
    <w:p w14:paraId="7CD0A463">
      <w:pPr>
        <w:spacing w:line="360" w:lineRule="auto"/>
        <w:ind w:firstLine="482" w:firstLineChars="200"/>
        <w:rPr>
          <w:rFonts w:hint="eastAsia" w:ascii="宋体" w:hAnsi="宋体"/>
          <w:b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规格型号若无法保持一致，可选用外形、功能相近规格进行报价，同时在报价单内表明实际报价的品牌、规格型号。</w:t>
      </w:r>
    </w:p>
    <w:p w14:paraId="5C5C7322">
      <w:pPr>
        <w:spacing w:line="360" w:lineRule="auto"/>
        <w:rPr>
          <w:rFonts w:hint="default" w:ascii="宋体" w:hAnsi="宋体" w:eastAsia="宋体"/>
          <w:b/>
          <w:color w:val="auto"/>
          <w:sz w:val="24"/>
          <w:szCs w:val="24"/>
          <w:highlight w:val="none"/>
          <w:lang w:val="en-US" w:eastAsia="zh-CN"/>
        </w:rPr>
      </w:pPr>
    </w:p>
    <w:p w14:paraId="316F1E34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二、服务要求：</w:t>
      </w:r>
    </w:p>
    <w:p w14:paraId="397B1FD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、本次采购为单价采购，单价包含货物制造、供货、备品备件、包装、运输及装卸费、保险费、税费、安装调试费、检测及验收费、质保期内外服务及相关伴随服务等费用之和；本合同执行期间合同单价不变，数量按实结算。</w:t>
      </w:r>
    </w:p>
    <w:p w14:paraId="6FC5861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2、服务期限（供货周期）：自合同签订生效之日起2年。</w:t>
      </w:r>
    </w:p>
    <w:p w14:paraId="4AB2398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3、成交供应商在接到采购人通知送货前（每批次），须提供符合采购人要求的合格样品，待采购人确认后正式供货。</w:t>
      </w:r>
    </w:p>
    <w:p w14:paraId="39FC9509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4、成交供应商需要对其所供应的全部产品质量负责，若使用前后出现质量问题，成交供应商须无条件退换，并承担因产品质量问题造成的其他损失。</w:t>
      </w:r>
    </w:p>
    <w:p w14:paraId="7D08030A">
      <w:pPr>
        <w:spacing w:line="360" w:lineRule="auto"/>
        <w:ind w:firstLine="482" w:firstLineChars="200"/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5、成交供应商将货物送达并安装完成后，需自行清理产生的包装箱、塑料袋等各类废品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7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2026-02-04T10:37:42Z</dcterms:created>
  <dc:creator>CS</dc:creator>
  <cp:lastModifiedBy>NTKO</cp:lastModifiedBy>
  <dcterms:modified xsi:type="dcterms:W3CDTF">2026-02-04T10:38:17Z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eyJoZGlkIjoiYmQ3NjQxYmZmN2ZkODIxYWNiNTEzMzQyMTZmNzQ1MmMiLCJ1c2VySWQiOiIyMzQ4Mzk4MTAifQ==</vt:lpwstr>
  </property>
  <property fmtid="{D5CDD505-2E9C-101B-9397-08002B2CF9AE}" pid="4" name="ICV">
    <vt:lpwstr>98D16AA7EB5F4E9CA3D3C10806FE0DB8_12</vt:lpwstr>
  </property>
</Properties>
</file>