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FE21"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阜外华中心血管病医院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有创呼吸机及转运呼吸机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医疗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设备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采购项目招标技术要求</w:t>
      </w:r>
    </w:p>
    <w:p w14:paraId="13BADC52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有创呼吸机</w:t>
      </w:r>
    </w:p>
    <w:tbl>
      <w:tblPr>
        <w:tblStyle w:val="2"/>
        <w:tblW w:w="10289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554"/>
        <w:gridCol w:w="1086"/>
      </w:tblGrid>
      <w:tr w14:paraId="4838CDF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E82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49AA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27A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280E752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057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D191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满足临床科室和安装场地要求，凡涉及设备安装及施工由中标方负责，提供交钥匙工程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2BE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75AD1C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7B0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投标产品应为知名品牌，产品属于医疗器械的，请投标时提供产品有效的医疗器械注册证或备案凭证。并提供具有法律法规效力的证明材料，包括不限于所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产品的注册或委托检验报告、医疗器械产品技术要求、使用说明书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公开的彩页。</w:t>
            </w:r>
          </w:p>
          <w:p w14:paraId="266F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进口产品需提供中英文对照的原版技术白皮书、产品授权书。</w:t>
            </w:r>
          </w:p>
          <w:p w14:paraId="30B3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3）投标人需具有有效的医疗器械经营许可证或备案凭证。</w:t>
            </w:r>
          </w:p>
          <w:p w14:paraId="19BBE5F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A60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8680C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506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D40B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B4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EAC56D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82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329B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另外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配置需要使用专用耗材或试剂的设备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E32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7EE86D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CBF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CAD25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产品配套所需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耗材的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品牌、规格型号及单价，并提供注册证或备案凭证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19D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E23124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F4C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0407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台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AC3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DDCE82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E07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51C8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技术要求  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E3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7738A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A9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F74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适用于对成人，小儿患者进行有创和无创通气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D6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具备</w:t>
            </w:r>
          </w:p>
        </w:tc>
      </w:tr>
      <w:tr w14:paraId="24B5ED4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F5A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2B1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电控呼吸机，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提供内置涡轮或空压机，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保证空气压力稳定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中央气源出现故障时可继续工作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DE7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27D66F4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38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4A8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彩色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液晶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屏幕≥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英寸，中文操作界面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179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359CFE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E81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6C8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具有网络接口、USB接口、多功能接口；病人数据、报警日志、校准表格等数据可通过U盘导出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B1F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35AB91E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4A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6A1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可充电锂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电池，断电后应支持操作≥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分钟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3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4AAA08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979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FEE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具备肺动态图，可显示阻力、顺应性和自主呼吸等生理参数变化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C03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232D91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B9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BFB0E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具备通气模式：容量控制辅助控制通气V-A/C、容量控制同步间歇指令通气V-SIMV、</w:t>
            </w:r>
          </w:p>
          <w:p w14:paraId="5CE5B08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压力控制辅助控制通气P-A/C、压力控制同步间歇指令通气P-SIMV、持续气道正压/压力支持通气（CPAP/PSV）、压力支持通气-自主/时控（PSV）、压力释放通气APRV、压力调节容量控制-同步间歇指令（PRVC-SIMV）、容量支持通气VS等通气模式；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999D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2EE6D7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D4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#8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457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自适应性支持通气（AMV或ASV或AUTOFLOW等同档次技术）或比例压力支持通气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316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2A77F7D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688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E09B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自适应通气模式具有参数调节目标指示表盘，更直观进行通气提示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具备实时气源压力电子显示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9BD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7837C9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11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DE2D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潮气量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范围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：≥20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ml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00ml 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DC7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492BB18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78F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CA32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呼吸频率：≥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-80次/分钟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吸气压力：≥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—60cmH2O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8F1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4055744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C31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0B44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峰值流速：≥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-180LPM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PEEP：≥0-30cmH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窒息通气时间间隔：≥15—30秒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E52B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086634C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1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C48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压力支持水平：≥5-60cmH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吸气时间：≥0.1-4.0秒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3E4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0274FAF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65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E138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具备流量触发或压力触发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sz w:val="20"/>
                <w:szCs w:val="20"/>
              </w:rPr>
              <w:t>具有自动插管阻力补偿（ATRC）功能；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8729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04824C0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7E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80EB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报警功能：分级报警、全中文提示报警信息、中文报警事件记录、气道压力高、低报警、呼出潮气量过高过低报警、呼吸频率过高报警、窒息报警、并可设置各种窒息通气模式及参数确保病人安全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DF7A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6A4811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3D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48BE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峰值压力：≥0-80cmH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O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0"/>
                <w:szCs w:val="20"/>
              </w:rPr>
              <w:t>具备高流量氧疗功能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68BE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30BD4CA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763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AC40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每分钟呼气量：≥0-50L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B0C1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0E4075E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B0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DE0B9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监测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肺功能参数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包括不限于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吸气阻力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静态顺应性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呼气时间常数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压力时间乘积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浅快呼吸指数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P0.1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287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79A69EF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148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561C2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实时波形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监测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包括不限于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容量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压力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安全通气图形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趋势图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呼吸力学参数的趋势图, 1小时/24小时可选择，可同时显示3个趋势图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65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042428F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26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#20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3987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屏幕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显示监测参数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包括不限于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监测输送氧气浓度、吸入潮气量、气道峰压、平台压力、平均气道压力、漏气量、每分钟通气量、自主呼出每分钟通气量、呼出潮气量、吸入潮气量、呼吸频率、呼吸比、肺功能参数监测、气道阻力、呼吸功、时间常数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EE0D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54E950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ED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805F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具备雾化功能、吸痰支持功能、漏气补偿功能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0662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184CE60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41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A21F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动静态顺应性和动静态阻力功能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97D7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7F148F8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D8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4FFA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动态模拟肺：肺顺应性、气道阻力以实时肺动态图形的方式显示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1EB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545D9C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70D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61340">
            <w:pPr>
              <w:widowControl/>
              <w:adjustRightInd w:val="0"/>
              <w:snapToGrid w:val="0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具备界面截图与波形录制功能，截屏U盘导出功能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A1E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54DF692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75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E9569">
            <w:pPr>
              <w:widowControl/>
              <w:adjustRightInd w:val="0"/>
              <w:snapToGrid w:val="0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开机自检全面自检，提供自检报告单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49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632A06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A79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7020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可拆卸并可消毒呼出流量传感器，要求非耗材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78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3A9EF99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9B7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8149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提供涡轮或空压机、氧电池、流量传感器、过滤器等主要零配件报价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FD22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40D19A8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CC0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53E3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主要配置要求:主机、涡轮或空压机、费雪派克湿化装置（提供双套水罐）、可重复使用硅胶气道管路（4套）、原装夹板模拟肺和常用消耗材料（如含有过滤器的每台设备随机另配备2套）、无创面罩2套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C04B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 w14:paraId="21D939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38D8393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0C5C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5D856">
            <w:pPr>
              <w:widowControl/>
              <w:adjustRightInd w:val="0"/>
              <w:snapToGrid w:val="0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设备使用年限≧10年，提供铭牌或手册等证明材料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42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具备</w:t>
            </w:r>
          </w:p>
        </w:tc>
      </w:tr>
      <w:tr w14:paraId="6954D6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CFF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四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09189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1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F3BC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B97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DE8AB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保修期：6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（自验收合格之日起）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82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1AE469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80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A344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2F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003C3B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1FE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C0C5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维修保障：提供中文说明书、操作手册、详细维修手册、维修密码，软件系终身免费升级。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1E9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951A3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BD1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7F5FD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每年工程师提供至少4次的免费上门维护保养工作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464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6F54CA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83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54717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生产日期为安装日期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一年以内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1A8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4DDB6A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F0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74F76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EC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1F01A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8E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178F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到货时间：合同签订后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日历天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紧急情况：接采购人通知48小时到货。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C78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</w:tbl>
    <w:p w14:paraId="7165C3E8">
      <w:pP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br w:type="page"/>
      </w:r>
    </w:p>
    <w:p w14:paraId="09B2DCA6">
      <w:pPr>
        <w:numPr>
          <w:ilvl w:val="0"/>
          <w:numId w:val="2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转运呼吸机</w:t>
      </w:r>
    </w:p>
    <w:tbl>
      <w:tblPr>
        <w:tblStyle w:val="2"/>
        <w:tblW w:w="10289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0E781BF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165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2975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097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7B4FAB7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6F3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127E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B2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B21EB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AE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7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投标产品应为知名品牌，产品属于医疗器械的，请投标时提供产品有效的医疗器械注册证或备案凭证。并提供具有法律法规效力的证明材料，包括不限于所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产品的注册或委托检验报告、医疗器械产品技术要求、使用说明书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公开的彩页。</w:t>
            </w:r>
          </w:p>
          <w:p w14:paraId="688E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进口产品需提供中英文对照的原版技术白皮书书、产品授权书。</w:t>
            </w:r>
          </w:p>
          <w:p w14:paraId="51CB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3）投标人需具有有效的医疗器械经营许可证或备案凭证。</w:t>
            </w:r>
          </w:p>
          <w:p w14:paraId="79314D6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4C7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096FA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FD3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9414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60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28E8D1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C6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5D65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另外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配置需要使用专用耗材或试剂的设备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B75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AF218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A13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E2EB4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产品配套所需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耗材的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品牌、规格型号及单价，并提供注册证或备案凭证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25C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4729C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B7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1D3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数量：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3台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258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1EAD3E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3DC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875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技术要求   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78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0350A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F2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4E5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适用于急救或转运中使用，对成人、小儿和婴幼儿患者通气辅助及呼吸支持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431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具备</w:t>
            </w:r>
          </w:p>
        </w:tc>
      </w:tr>
      <w:tr w14:paraId="51325EA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F2E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D96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呼吸机主机重量≤5kg，满足≥4000米海拔和直升机转运要求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711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74F7CDB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0F6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#3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1CD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整机为电动电控设计，涡轮驱动产生空气气源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B95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31FFA4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5BC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95DD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内置高性能静音涡轮，峰值流速≥210L/min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D75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C644F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29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5494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配置的电池续航时间1块电池≥4小时，具有关机状态下电量显示功能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77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3C1A5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A9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30F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可选配主流CO2监测模块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196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F937F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25D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A89E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支持高压氧气气源和低压氧气气源两种方式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7C8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6E5CA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25D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A89F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彩色触摸控制屏≥7英寸，可同时显示波形和监测参数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E26A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402DBE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6B8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CFF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具有屏幕亮度自动调节功能，根据环境光线强度自动调节屏幕亮度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836B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23DE19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C54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310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支持显示≥100小时的全部监测参数趋势图、表分析，≥3000条报警和操作日志记录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1D69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60866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02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6016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标配模式：容量控制/辅助通气模式V-A/C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容量同步间歇指令通气模式V-SIMV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压力控制/辅助通气模式P-A/C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压力同步间歇指令通气模式P-SIMV；持续气道正压通气模式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5A2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8C4E9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2459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D5A7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支持通气模式CPAP/PSV、双水平气道正压通气模式（如BIPAP或DuoLevel或BiLevel）、心肺复苏通气模式（如CPRV，CPRmode等）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2A2B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4040E6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16A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36BC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配备无创通气模式和氧疗模式，氧疗流量：2—80L/min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30FD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5C5B28D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E96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C740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具有插管补偿功能，可选择不同孔径的气管插管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3D75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5663DD3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983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52A3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呼吸同步技术，自动调节吸气和呼气触发灵敏度、压力上升时间，提高人机同步性和舒适度，减少手动调节参数</w:t>
            </w:r>
            <w:bookmarkStart w:id="0" w:name="_GoBack"/>
            <w:bookmarkEnd w:id="0"/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1D0A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7F323B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3ED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F624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显示气道阻力、肺顺应性等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941C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2912F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B0A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#17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5AF0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最小潮气量：≦20ml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689E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3CC457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58B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F039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呼气触发灵敏度：自动或10%～85%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8975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C7D31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F1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4483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压力触发灵敏度：自动或-20cmH₂O～0.5cmH₂O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3220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C73CDA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4BB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20DD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监测参数：氧浓度、分钟通气量、潮气量、气道压力、呼吸频率等关键参数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4450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7332AC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11B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D66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波形监测：压力—时间、流速—时间、容量—时间和CO2—时间波形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754D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2590149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C7E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D086E"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报警：潮气量、通气量、压力、呼吸频率、窒息、氧浓度、氧气不足、电量不足、管路脱落、机器故障等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C024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35AEF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F8B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A710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具备生理报警和技术报警功能，通过声音、文字和灯光3种方式进行报警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16E8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74C1933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8E1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550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具备WIFI或蓝牙或星闪等无线数据传输功能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B006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A04345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076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80A7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支持提供IHE HL7协议，满足院前院内急救系统的联网通信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0EF8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3F1D0A5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C73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072F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提供儿童和成人可重复消毒使用硅胶管路各1套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1613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297352F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A069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四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1096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260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0125C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5A3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5C2FA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保修期：6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（自验收合格之日起）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A1F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C3254E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08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EBAE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CDB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67842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40D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0230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维修保障：提供中文说明书、操作手册、详细维修手册、维修密码，软件系终身免费升级。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E6B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7D88AEF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681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4910D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设备的生产日期为安装日期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一年之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内。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466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065022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78E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325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每年工程师提供至少4次的免费上门维护保养工作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976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3840573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37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41722"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A3E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  <w:tr w14:paraId="5BA0D6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191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225C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到货时间：合同签订后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日历天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EE9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</w:t>
            </w:r>
          </w:p>
        </w:tc>
      </w:tr>
    </w:tbl>
    <w:p w14:paraId="730A3E18">
      <w:pPr>
        <w:numPr>
          <w:numId w:val="0"/>
        </w:numP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7FE9"/>
    <w:multiLevelType w:val="singleLevel"/>
    <w:tmpl w:val="DFCF7F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84807C"/>
    <w:multiLevelType w:val="singleLevel"/>
    <w:tmpl w:val="448480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0DB6"/>
    <w:rsid w:val="01D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2026-04-22T08:39:00Z</dcterms:created>
  <dc:creator>whz</dc:creator>
  <cp:lastModifiedBy>whz</cp:lastModifiedBy>
  <dcterms:modified xsi:type="dcterms:W3CDTF">2026-04-22T08:42:29Z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BA9202421E5547F09DCFC8A69B4D8CF4_11</vt:lpwstr>
  </property>
  <property fmtid="{D5CDD505-2E9C-101B-9397-08002B2CF9AE}" pid="4" name="KSOTemplateDocerSaveRecord">
    <vt:lpwstr>eyJoZGlkIjoiM2JlYTU1NzA4OTYyZTAyYWFhNDRmMDEyYzFmMjFhOTkiLCJ1c2VySWQiOiI1NTU0ODI4NTkifQ==</vt:lpwstr>
  </property>
</Properties>
</file>