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23C5">
      <w:pPr>
        <w:jc w:val="left"/>
        <w:rPr>
          <w:rFonts w:ascii="宋体" w:hAnsi="宋体" w:eastAsia="宋体"/>
          <w:sz w:val="24"/>
          <w:szCs w:val="32"/>
        </w:rPr>
      </w:pPr>
      <w:bookmarkStart w:id="0" w:name="OLE_LINK3"/>
      <w:bookmarkStart w:id="1" w:name="_Toc223530346"/>
      <w:r>
        <w:rPr>
          <w:rFonts w:ascii="宋体" w:hAnsi="宋体" w:eastAsia="宋体"/>
          <w:sz w:val="24"/>
          <w:szCs w:val="32"/>
        </w:rPr>
        <w:t>附件2</w:t>
      </w:r>
      <w:r>
        <w:rPr>
          <w:rFonts w:hint="eastAsia" w:ascii="宋体" w:hAnsi="宋体" w:eastAsia="宋体"/>
          <w:sz w:val="24"/>
          <w:szCs w:val="32"/>
        </w:rPr>
        <w:t>：采购需求</w:t>
      </w:r>
      <w:bookmarkEnd w:id="0"/>
    </w:p>
    <w:p w14:paraId="1A04A504">
      <w:pPr>
        <w:jc w:val="center"/>
        <w:rPr>
          <w:rFonts w:ascii="黑体" w:hAnsi="Times New Roman" w:eastAsia="黑体" w:cs="Times New Roman"/>
          <w:b/>
          <w:sz w:val="36"/>
          <w:szCs w:val="32"/>
        </w:rPr>
      </w:pPr>
      <w:r>
        <w:rPr>
          <w:rFonts w:hint="eastAsia" w:ascii="黑体" w:hAnsi="Times New Roman" w:eastAsia="黑体" w:cs="Times New Roman"/>
          <w:b/>
          <w:sz w:val="36"/>
          <w:szCs w:val="32"/>
        </w:rPr>
        <w:t>采购需求</w:t>
      </w:r>
      <w:bookmarkEnd w:id="1"/>
    </w:p>
    <w:p w14:paraId="426B306D">
      <w:pPr>
        <w:rPr>
          <w:rFonts w:ascii="Times New Roman" w:hAnsi="Times New Roman" w:eastAsia="宋体" w:cs="Times New Roman"/>
          <w:szCs w:val="24"/>
        </w:rPr>
      </w:pPr>
    </w:p>
    <w:p w14:paraId="727135B0">
      <w:pPr>
        <w:rPr>
          <w:rFonts w:ascii="Times New Roman" w:hAnsi="Times New Roman" w:eastAsia="宋体" w:cs="Times New Roman"/>
          <w:szCs w:val="24"/>
        </w:rPr>
      </w:pPr>
    </w:p>
    <w:p w14:paraId="13ADDA56">
      <w:pPr>
        <w:spacing w:line="440" w:lineRule="exact"/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*</w:t>
      </w:r>
      <w:r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  <w:t>一</w:t>
      </w: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、总体要求</w:t>
      </w:r>
    </w:p>
    <w:p w14:paraId="32ECA379">
      <w:pPr>
        <w:spacing w:line="440" w:lineRule="exact"/>
        <w:rPr>
          <w:rFonts w:ascii="Times New Roman" w:hAnsi="Times New Roman" w:eastAsia="宋体" w:cs="Times New Roman"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spacing w:val="2"/>
          <w:position w:val="1"/>
          <w:szCs w:val="24"/>
        </w:rPr>
        <w:t>1、满足临床科室和安装场地要求，凡涉及设备安装及施工由中标方负责，提供交钥匙工程</w:t>
      </w:r>
    </w:p>
    <w:p w14:paraId="2E2C22E0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2、（1）提供产品有效的医疗器械注册证或备案凭证。并提供具有法律法规效力的证明材料，不限于所投产品的注册或委托检验报告、医疗器械产品技术要求、使用说明书或公开的彩页。</w:t>
      </w:r>
    </w:p>
    <w:p w14:paraId="72EE0C2E">
      <w:pPr>
        <w:spacing w:line="440" w:lineRule="exact"/>
        <w:ind w:firstLine="416" w:firstLineChars="200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（2）进口产品需提供中英文对照的原版技术白皮书书、产品授权书。</w:t>
      </w:r>
    </w:p>
    <w:p w14:paraId="74CEAC3C">
      <w:pPr>
        <w:spacing w:line="440" w:lineRule="exact"/>
        <w:ind w:firstLine="416" w:firstLineChars="200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（3）投标人需具有有效的医疗器械经营许可证或备案凭证。</w:t>
      </w:r>
    </w:p>
    <w:p w14:paraId="0A4DC580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3、仪器配备所有软件使用最新版本且终身免费升级，端口免费开放，能与我院各信息系统无缝对接。成交价包含LIS/HIS等医院系统接口费</w:t>
      </w:r>
    </w:p>
    <w:p w14:paraId="66D15B2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4、不得另外配置需要使用专用耗材或试剂的设备</w:t>
      </w:r>
    </w:p>
    <w:p w14:paraId="4D2F28A1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5、请提供所投产品主要配件的名称、品牌、规格型号及单价</w:t>
      </w:r>
    </w:p>
    <w:p w14:paraId="424C6764">
      <w:pPr>
        <w:spacing w:line="440" w:lineRule="exact"/>
        <w:rPr>
          <w:rFonts w:ascii="Times New Roman" w:hAnsi="Times New Roman" w:eastAsia="宋体" w:cs="Times New Roman"/>
          <w:spacing w:val="-2"/>
          <w:szCs w:val="24"/>
        </w:rPr>
      </w:pPr>
      <w:r>
        <w:rPr>
          <w:rFonts w:hint="eastAsia" w:ascii="Times New Roman" w:hAnsi="Times New Roman" w:eastAsia="宋体" w:cs="Times New Roman"/>
          <w:spacing w:val="-2"/>
          <w:szCs w:val="24"/>
        </w:rPr>
        <w:t>6、数量：据实结算</w:t>
      </w:r>
    </w:p>
    <w:p w14:paraId="23E2622B">
      <w:pPr>
        <w:spacing w:line="440" w:lineRule="exact"/>
        <w:rPr>
          <w:rFonts w:ascii="Times New Roman" w:hAnsi="Times New Roman" w:eastAsia="宋体" w:cs="Times New Roman"/>
          <w:spacing w:val="-2"/>
          <w:szCs w:val="24"/>
          <w:highlight w:val="none"/>
        </w:rPr>
      </w:pPr>
      <w:bookmarkStart w:id="2" w:name="_GoBack"/>
      <w:r>
        <w:rPr>
          <w:rFonts w:hint="eastAsia" w:ascii="Times New Roman" w:hAnsi="Times New Roman" w:eastAsia="宋体" w:cs="Times New Roman"/>
          <w:spacing w:val="-2"/>
          <w:szCs w:val="24"/>
          <w:highlight w:val="none"/>
        </w:rPr>
        <w:t>7、服务期：2年</w:t>
      </w:r>
    </w:p>
    <w:bookmarkEnd w:id="2"/>
    <w:p w14:paraId="37B04799">
      <w:pPr>
        <w:spacing w:line="440" w:lineRule="exact"/>
        <w:rPr>
          <w:rFonts w:ascii="Times New Roman" w:hAnsi="Times New Roman" w:eastAsia="宋体" w:cs="Times New Roman"/>
          <w:b/>
          <w:bCs/>
          <w:spacing w:val="2"/>
          <w:position w:val="1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2"/>
          <w:position w:val="1"/>
          <w:szCs w:val="24"/>
        </w:rPr>
        <w:t>二、技术要求</w:t>
      </w:r>
    </w:p>
    <w:p w14:paraId="15339799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*</w:t>
      </w:r>
      <w:r>
        <w:rPr>
          <w:rFonts w:hint="eastAsia" w:ascii="Times New Roman" w:hAnsi="Times New Roman" w:eastAsia="宋体" w:cs="Times New Roman"/>
          <w:szCs w:val="24"/>
        </w:rPr>
        <w:t>1、适用于成人、小儿、新生儿的生理指标监测</w:t>
      </w:r>
    </w:p>
    <w:p w14:paraId="27EAA14D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2、满足救护车转运标准，坚固耐用，抗≥1.2米跌落，满足转运过程中的复杂临床救治环境</w:t>
      </w:r>
    </w:p>
    <w:p w14:paraId="1953301D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3、≥5英寸彩色触摸显示屏，整机无风扇设计，小巧便携</w:t>
      </w:r>
    </w:p>
    <w:p w14:paraId="437ADAAD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4、内置锂电池供电，支持≥4小时的持续监测。提供充电器，具有快充功能</w:t>
      </w:r>
    </w:p>
    <w:p w14:paraId="02C77DAB">
      <w:pPr>
        <w:spacing w:line="440" w:lineRule="exact"/>
        <w:rPr>
          <w:rFonts w:ascii="Times New Roman" w:hAnsi="Times New Roman" w:eastAsia="宋体" w:cs="Times New Roman"/>
          <w:spacing w:val="1"/>
          <w:szCs w:val="24"/>
        </w:rPr>
      </w:pPr>
      <w:r>
        <w:rPr>
          <w:rFonts w:hint="eastAsia" w:ascii="Times New Roman" w:hAnsi="Times New Roman" w:eastAsia="宋体" w:cs="Times New Roman"/>
          <w:spacing w:val="1"/>
          <w:szCs w:val="24"/>
        </w:rPr>
        <w:t>5、内置DC电源接口，支持车载充电</w:t>
      </w:r>
    </w:p>
    <w:p w14:paraId="32412E5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*</w:t>
      </w:r>
      <w:r>
        <w:rPr>
          <w:rFonts w:hint="eastAsia" w:ascii="Times New Roman" w:hAnsi="Times New Roman" w:eastAsia="宋体" w:cs="Times New Roman"/>
          <w:szCs w:val="24"/>
        </w:rPr>
        <w:t>6、标配3/5导心电、呼吸、血氧、无创血压和通道体温</w:t>
      </w:r>
    </w:p>
    <w:p w14:paraId="47E91742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7、心率测量范围：成人≥15 – 300 bpm，小儿/新生儿≥15 - 350 bpm</w:t>
      </w:r>
    </w:p>
    <w:p w14:paraId="74881288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8、波速提供50mm/s，25 mm/s、12.5 mm/s、6.25 mm/s可选</w:t>
      </w:r>
    </w:p>
    <w:p w14:paraId="4391AF4A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9、滤波模式提供诊断模式，监护模式，ST模式等</w:t>
      </w:r>
    </w:p>
    <w:p w14:paraId="7D9BBD80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10、具有多导同步心电监护算法，能够良好抗干扰</w:t>
      </w:r>
    </w:p>
    <w:p w14:paraId="37E03A16">
      <w:pPr>
        <w:spacing w:line="440" w:lineRule="exact"/>
        <w:rPr>
          <w:rFonts w:ascii="Times New Roman" w:hAnsi="Times New Roman" w:eastAsia="宋体" w:cs="Times New Roman"/>
          <w:spacing w:val="-1"/>
          <w:szCs w:val="24"/>
        </w:rPr>
      </w:pPr>
      <w:r>
        <w:rPr>
          <w:rFonts w:hint="eastAsia" w:ascii="Times New Roman" w:hAnsi="Times New Roman" w:eastAsia="宋体" w:cs="Times New Roman"/>
          <w:spacing w:val="-1"/>
          <w:szCs w:val="24"/>
        </w:rPr>
        <w:t>11、提供≥20种心律失常事件的分析</w:t>
      </w:r>
    </w:p>
    <w:p w14:paraId="345C0570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12、提供ST段分析，具有QT/QTc测量功能</w:t>
      </w:r>
    </w:p>
    <w:p w14:paraId="21116E07">
      <w:pPr>
        <w:spacing w:line="440" w:lineRule="exact"/>
        <w:rPr>
          <w:rFonts w:ascii="Times New Roman" w:hAnsi="Times New Roman" w:eastAsia="宋体" w:cs="Times New Roman"/>
          <w:spacing w:val="1"/>
          <w:szCs w:val="24"/>
        </w:rPr>
      </w:pPr>
      <w:r>
        <w:rPr>
          <w:rFonts w:hint="eastAsia" w:ascii="Times New Roman" w:hAnsi="Times New Roman" w:eastAsia="宋体" w:cs="Times New Roman"/>
          <w:spacing w:val="1"/>
          <w:szCs w:val="24"/>
        </w:rPr>
        <w:t>13、可显示弱灌注指数（PI）</w:t>
      </w:r>
    </w:p>
    <w:p w14:paraId="744CA315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14、提供手动、自动间隔、连续、序列等种无创血压测量模式</w:t>
      </w:r>
    </w:p>
    <w:p w14:paraId="658A7A4F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15、具备≥48小时全息波形回顾，≥100小时趋势数据回顾</w:t>
      </w:r>
    </w:p>
    <w:p w14:paraId="43F537B8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16、主要配置：主机、成人和小儿袖带各1个、可充电锂电池、指甲式或指套式血氧、心电导联线等</w:t>
      </w:r>
    </w:p>
    <w:p w14:paraId="3C2A815E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17、产品使用年限≥10年，提供证明材料</w:t>
      </w:r>
    </w:p>
    <w:p w14:paraId="417F6D39">
      <w:pPr>
        <w:spacing w:line="440" w:lineRule="exact"/>
        <w:rPr>
          <w:rFonts w:ascii="Times New Roman" w:hAnsi="Times New Roman" w:eastAsia="宋体" w:cs="Times New Roman"/>
          <w:b/>
          <w:bCs/>
          <w:spacing w:val="-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pacing w:val="-4"/>
          <w:szCs w:val="24"/>
        </w:rPr>
        <w:t>三、</w:t>
      </w:r>
      <w:r>
        <w:rPr>
          <w:rFonts w:ascii="Times New Roman" w:hAnsi="Times New Roman" w:eastAsia="宋体" w:cs="Times New Roman"/>
          <w:b/>
          <w:bCs/>
          <w:spacing w:val="-4"/>
          <w:szCs w:val="24"/>
        </w:rPr>
        <w:t>技术及售后服务</w:t>
      </w:r>
    </w:p>
    <w:p w14:paraId="1CA1B350">
      <w:pPr>
        <w:spacing w:line="440" w:lineRule="exact"/>
        <w:rPr>
          <w:rFonts w:ascii="Times New Roman" w:hAnsi="Times New Roman" w:eastAsia="宋体" w:cs="Times New Roman"/>
          <w:spacing w:val="-2"/>
          <w:szCs w:val="24"/>
        </w:rPr>
      </w:pPr>
      <w:r>
        <w:rPr>
          <w:rFonts w:ascii="Times New Roman" w:hAnsi="Times New Roman" w:eastAsia="宋体" w:cs="Times New Roman"/>
          <w:spacing w:val="-2"/>
          <w:szCs w:val="24"/>
        </w:rPr>
        <w:t>*1</w:t>
      </w:r>
      <w:r>
        <w:rPr>
          <w:rFonts w:hint="eastAsia" w:ascii="Times New Roman" w:hAnsi="Times New Roman" w:eastAsia="宋体" w:cs="Times New Roman"/>
          <w:spacing w:val="-2"/>
          <w:szCs w:val="24"/>
        </w:rPr>
        <w:t>、</w:t>
      </w:r>
      <w:r>
        <w:rPr>
          <w:rFonts w:ascii="Times New Roman" w:hAnsi="Times New Roman" w:eastAsia="宋体" w:cs="Times New Roman"/>
          <w:spacing w:val="-2"/>
          <w:szCs w:val="24"/>
        </w:rPr>
        <w:t>保修期：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6</w:t>
      </w:r>
      <w:r>
        <w:rPr>
          <w:rFonts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</w:t>
      </w:r>
    </w:p>
    <w:p w14:paraId="0C362199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2、中标方应对设备操作及维修人员进行操作及维修培训</w:t>
      </w:r>
    </w:p>
    <w:p w14:paraId="667AEFAB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3、</w:t>
      </w:r>
      <w:r>
        <w:rPr>
          <w:rFonts w:hint="eastAsia" w:ascii="Times New Roman" w:hAnsi="Times New Roman" w:eastAsia="宋体" w:cs="Times New Roman"/>
          <w:szCs w:val="24"/>
        </w:rPr>
        <w:t>维修保障：提供中文说明书、操作手册、维修手册、维修密码，软件系终身免费升级。</w:t>
      </w:r>
    </w:p>
    <w:p w14:paraId="36B963CA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4、</w:t>
      </w:r>
      <w:r>
        <w:rPr>
          <w:rFonts w:hint="eastAsia" w:ascii="Times New Roman" w:hAnsi="Times New Roman" w:eastAsia="宋体" w:cs="Times New Roman"/>
          <w:szCs w:val="24"/>
        </w:rPr>
        <w:t>国产设备的生产日期为安装日期6个月内，进口设备的生产日期为安装日期12个月内。</w:t>
      </w:r>
    </w:p>
    <w:p w14:paraId="1FFBD629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5、</w:t>
      </w:r>
      <w:r>
        <w:rPr>
          <w:rFonts w:hint="eastAsia" w:ascii="Times New Roman" w:hAnsi="Times New Roman" w:eastAsia="宋体" w:cs="Times New Roman"/>
          <w:szCs w:val="24"/>
        </w:rPr>
        <w:t>一个月内非人为质量问题提供换货。设备出现故障时2个小时内响应并提供维修方案，24小时内到达现场，郑州有常驻工程师，提供工程师姓名及联系方式。每年工程师提供至少4次的免费上门维护保养工作。</w:t>
      </w:r>
    </w:p>
    <w:p w14:paraId="36E56445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6、</w:t>
      </w:r>
      <w:r>
        <w:rPr>
          <w:rFonts w:ascii="Times New Roman" w:hAnsi="Times New Roman" w:eastAsia="宋体" w:cs="Times New Roman"/>
          <w:spacing w:val="-1"/>
          <w:szCs w:val="24"/>
        </w:rPr>
        <w:t>提供专业维修工具1套</w:t>
      </w:r>
    </w:p>
    <w:p w14:paraId="2B39C22C">
      <w:pPr>
        <w:spacing w:line="440" w:lineRule="exact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pacing w:val="-2"/>
          <w:szCs w:val="24"/>
        </w:rPr>
        <w:t>*</w:t>
      </w:r>
      <w:r>
        <w:rPr>
          <w:rFonts w:ascii="Times New Roman" w:hAnsi="Times New Roman" w:eastAsia="宋体" w:cs="Times New Roman"/>
          <w:szCs w:val="24"/>
        </w:rPr>
        <w:t>7、到货时间：合同签订后30日历天</w:t>
      </w:r>
      <w:r>
        <w:rPr>
          <w:rFonts w:hint="eastAsia" w:ascii="Times New Roman" w:hAnsi="Times New Roman" w:eastAsia="宋体" w:cs="Times New Roman"/>
          <w:szCs w:val="24"/>
        </w:rPr>
        <w:t>；紧急采购：接到采购人通知24小时内到货</w:t>
      </w:r>
    </w:p>
    <w:p w14:paraId="20EA46B8"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361282"/>
    <w:rsid w:val="004124F8"/>
    <w:rsid w:val="006D3ECF"/>
    <w:rsid w:val="00723BCA"/>
    <w:rsid w:val="00CB59B8"/>
    <w:rsid w:val="583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1075</Characters>
  <Lines>7</Lines>
  <Paragraphs>2</Paragraphs>
  <TotalTime>2</TotalTime>
  <ScaleCrop>false</ScaleCrop>
  <LinksUpToDate>false</LinksUpToDate>
  <CharactersWithSpaces>1085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2026-03-23T01:57:00Z</dcterms:created>
  <dc:creator>微软用户</dc:creator>
  <cp:lastModifiedBy>WPS_1697076701</cp:lastModifiedBy>
  <dcterms:modified xsi:type="dcterms:W3CDTF">2026-04-23T07:36:23Z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eyJoZGlkIjoiOWE2NTFiN2MyZjIyZjVhYzkwMzVjYzk3NmMzMWY3MDIiLCJ1c2VySWQiOiIxNTQ5NjgwNTg5In0=</vt:lpwstr>
  </property>
  <property fmtid="{D5CDD505-2E9C-101B-9397-08002B2CF9AE}" pid="3" name="KSOProductBuildVer">
    <vt:lpwstr>2052-12.1.0.25865</vt:lpwstr>
  </property>
  <property fmtid="{D5CDD505-2E9C-101B-9397-08002B2CF9AE}" pid="4" name="ICV">
    <vt:lpwstr>E24EE387B64842F1BA6BB63C74528046_12</vt:lpwstr>
  </property>
</Properties>
</file>