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D87F4F">
      <w:pPr>
        <w:bidi w:val="0"/>
        <w:spacing w:line="360" w:lineRule="auto"/>
        <w:jc w:val="left"/>
        <w:rPr>
          <w:rFonts w:hint="default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一、商务要求</w:t>
      </w:r>
    </w:p>
    <w:tbl>
      <w:tblPr>
        <w:tblStyle w:val="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2356"/>
        <w:gridCol w:w="6258"/>
      </w:tblGrid>
      <w:tr w14:paraId="0A096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1870D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序号</w:t>
            </w:r>
          </w:p>
        </w:tc>
        <w:tc>
          <w:tcPr>
            <w:tcW w:w="1268" w:type="pct"/>
            <w:vAlign w:val="center"/>
          </w:tcPr>
          <w:p w14:paraId="4C45E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审查因素</w:t>
            </w:r>
          </w:p>
        </w:tc>
        <w:tc>
          <w:tcPr>
            <w:tcW w:w="3368" w:type="pct"/>
            <w:vAlign w:val="center"/>
          </w:tcPr>
          <w:p w14:paraId="59591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审查标准</w:t>
            </w:r>
          </w:p>
        </w:tc>
      </w:tr>
      <w:tr w14:paraId="7AE8D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1" w:hRule="atLeast"/>
        </w:trPr>
        <w:tc>
          <w:tcPr>
            <w:tcW w:w="363" w:type="pct"/>
            <w:vAlign w:val="center"/>
          </w:tcPr>
          <w:p w14:paraId="42963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1</w:t>
            </w:r>
          </w:p>
        </w:tc>
        <w:tc>
          <w:tcPr>
            <w:tcW w:w="1268" w:type="pct"/>
            <w:vAlign w:val="center"/>
          </w:tcPr>
          <w:p w14:paraId="3C7EF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响应函、首次报价一览表及签字盖章</w:t>
            </w:r>
          </w:p>
        </w:tc>
        <w:tc>
          <w:tcPr>
            <w:tcW w:w="3368" w:type="pct"/>
            <w:vAlign w:val="center"/>
          </w:tcPr>
          <w:p w14:paraId="4090D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有法定代表人（单位负责人）或其委托代理人签字或加盖单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位公</w:t>
            </w:r>
            <w:r>
              <w:rPr>
                <w:rFonts w:hint="eastAsia"/>
                <w:color w:val="auto"/>
                <w:highlight w:val="none"/>
              </w:rPr>
              <w:t>章。由法定代表人（单位负责人） 签字的，应附法定代表人（单位负责人）身份证明，由代理人签字的，应附授权委托书，身份证明或授权委托书应符合第六章“响应文件格式”的规定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。</w:t>
            </w:r>
          </w:p>
        </w:tc>
      </w:tr>
      <w:tr w14:paraId="29644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363" w:type="pct"/>
            <w:vAlign w:val="center"/>
          </w:tcPr>
          <w:p w14:paraId="74ACFF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2</w:t>
            </w:r>
          </w:p>
        </w:tc>
        <w:tc>
          <w:tcPr>
            <w:tcW w:w="1268" w:type="pct"/>
            <w:vAlign w:val="center"/>
          </w:tcPr>
          <w:p w14:paraId="6C63D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联合体供应商</w:t>
            </w:r>
          </w:p>
        </w:tc>
        <w:tc>
          <w:tcPr>
            <w:tcW w:w="3368" w:type="pct"/>
            <w:vAlign w:val="center"/>
          </w:tcPr>
          <w:p w14:paraId="25BF5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提交符合磋商文件要求的联合体协议书，明确各方承担连带责任，并明确联合体牵头人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。（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本项目不接受联合体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）</w:t>
            </w:r>
          </w:p>
        </w:tc>
      </w:tr>
      <w:tr w14:paraId="0FD33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2D5F2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3</w:t>
            </w:r>
          </w:p>
        </w:tc>
        <w:tc>
          <w:tcPr>
            <w:tcW w:w="1268" w:type="pct"/>
            <w:vAlign w:val="center"/>
          </w:tcPr>
          <w:p w14:paraId="31FA3B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报价</w:t>
            </w:r>
          </w:p>
        </w:tc>
        <w:tc>
          <w:tcPr>
            <w:tcW w:w="3368" w:type="pct"/>
            <w:vAlign w:val="center"/>
          </w:tcPr>
          <w:p w14:paraId="468F1A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符合第二章“供应商须知”第17条规定</w:t>
            </w:r>
          </w:p>
        </w:tc>
      </w:tr>
      <w:tr w14:paraId="593A4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7973F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4</w:t>
            </w:r>
          </w:p>
        </w:tc>
        <w:tc>
          <w:tcPr>
            <w:tcW w:w="1268" w:type="pct"/>
            <w:vAlign w:val="center"/>
          </w:tcPr>
          <w:p w14:paraId="31BA2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响应范围</w:t>
            </w:r>
          </w:p>
        </w:tc>
        <w:tc>
          <w:tcPr>
            <w:tcW w:w="3368" w:type="pct"/>
            <w:vAlign w:val="center"/>
          </w:tcPr>
          <w:p w14:paraId="1CAEF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符合第二章“供应商须知”第3.1项规定</w:t>
            </w:r>
          </w:p>
        </w:tc>
      </w:tr>
      <w:tr w14:paraId="5D657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17F1F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1268" w:type="pct"/>
            <w:vAlign w:val="center"/>
          </w:tcPr>
          <w:p w14:paraId="56EB2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交货地点</w:t>
            </w:r>
          </w:p>
        </w:tc>
        <w:tc>
          <w:tcPr>
            <w:tcW w:w="3368" w:type="pct"/>
            <w:vAlign w:val="center"/>
          </w:tcPr>
          <w:p w14:paraId="76ED9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符合第二章“供应商须知”第3.3项规定</w:t>
            </w:r>
          </w:p>
        </w:tc>
      </w:tr>
      <w:tr w14:paraId="1F974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61E6D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6</w:t>
            </w:r>
          </w:p>
        </w:tc>
        <w:tc>
          <w:tcPr>
            <w:tcW w:w="1268" w:type="pct"/>
            <w:vAlign w:val="center"/>
          </w:tcPr>
          <w:p w14:paraId="2B662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交货期</w:t>
            </w:r>
          </w:p>
        </w:tc>
        <w:tc>
          <w:tcPr>
            <w:tcW w:w="3368" w:type="pct"/>
            <w:vAlign w:val="center"/>
          </w:tcPr>
          <w:p w14:paraId="2943CA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符合第二章“供应商须知”第3.4项规定</w:t>
            </w:r>
          </w:p>
        </w:tc>
      </w:tr>
      <w:tr w14:paraId="19CBC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624EF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7</w:t>
            </w:r>
          </w:p>
        </w:tc>
        <w:tc>
          <w:tcPr>
            <w:tcW w:w="1268" w:type="pct"/>
            <w:vAlign w:val="center"/>
          </w:tcPr>
          <w:p w14:paraId="0A206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质量标准</w:t>
            </w:r>
          </w:p>
        </w:tc>
        <w:tc>
          <w:tcPr>
            <w:tcW w:w="3368" w:type="pct"/>
            <w:vAlign w:val="center"/>
          </w:tcPr>
          <w:p w14:paraId="525B8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符合第二章“供应商须知”第3.5项规定</w:t>
            </w:r>
          </w:p>
        </w:tc>
      </w:tr>
      <w:tr w14:paraId="364EF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72B93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8</w:t>
            </w:r>
          </w:p>
        </w:tc>
        <w:tc>
          <w:tcPr>
            <w:tcW w:w="1268" w:type="pct"/>
            <w:vAlign w:val="center"/>
          </w:tcPr>
          <w:p w14:paraId="51061D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质保期（保修期）</w:t>
            </w:r>
          </w:p>
        </w:tc>
        <w:tc>
          <w:tcPr>
            <w:tcW w:w="3368" w:type="pct"/>
            <w:vAlign w:val="center"/>
          </w:tcPr>
          <w:p w14:paraId="5EB61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符合第二章“供应商须知”第3.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6</w:t>
            </w:r>
            <w:r>
              <w:rPr>
                <w:rFonts w:hint="eastAsia"/>
                <w:color w:val="auto"/>
                <w:highlight w:val="none"/>
              </w:rPr>
              <w:t>项规定</w:t>
            </w:r>
          </w:p>
        </w:tc>
      </w:tr>
      <w:tr w14:paraId="7A691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6CFC0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9</w:t>
            </w:r>
          </w:p>
        </w:tc>
        <w:tc>
          <w:tcPr>
            <w:tcW w:w="1268" w:type="pct"/>
            <w:vAlign w:val="center"/>
          </w:tcPr>
          <w:p w14:paraId="50D08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服务期限（供货周期）</w:t>
            </w:r>
          </w:p>
        </w:tc>
        <w:tc>
          <w:tcPr>
            <w:tcW w:w="3368" w:type="pct"/>
            <w:vAlign w:val="center"/>
          </w:tcPr>
          <w:p w14:paraId="45C70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符合第二章“供应商须知”第3.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7</w:t>
            </w:r>
            <w:r>
              <w:rPr>
                <w:rFonts w:hint="eastAsia"/>
                <w:color w:val="auto"/>
                <w:highlight w:val="none"/>
              </w:rPr>
              <w:t>项规定</w:t>
            </w:r>
          </w:p>
        </w:tc>
      </w:tr>
      <w:tr w14:paraId="50F3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27451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10</w:t>
            </w:r>
          </w:p>
        </w:tc>
        <w:tc>
          <w:tcPr>
            <w:tcW w:w="1268" w:type="pct"/>
            <w:vAlign w:val="center"/>
          </w:tcPr>
          <w:p w14:paraId="4BD18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技术性能指标</w:t>
            </w:r>
          </w:p>
        </w:tc>
        <w:tc>
          <w:tcPr>
            <w:tcW w:w="3368" w:type="pct"/>
            <w:vAlign w:val="center"/>
          </w:tcPr>
          <w:p w14:paraId="6C5C1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符合第五章“采购需求”中带“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”项的实质性要求和条件</w:t>
            </w:r>
          </w:p>
        </w:tc>
      </w:tr>
      <w:tr w14:paraId="3214B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4ACE44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11</w:t>
            </w:r>
          </w:p>
        </w:tc>
        <w:tc>
          <w:tcPr>
            <w:tcW w:w="1268" w:type="pct"/>
            <w:vAlign w:val="center"/>
          </w:tcPr>
          <w:p w14:paraId="6EC65D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附加条件</w:t>
            </w:r>
          </w:p>
        </w:tc>
        <w:tc>
          <w:tcPr>
            <w:tcW w:w="3368" w:type="pct"/>
            <w:vAlign w:val="center"/>
          </w:tcPr>
          <w:p w14:paraId="65D90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响应文件中不得含有采购人不能接受的附加条件</w:t>
            </w:r>
          </w:p>
        </w:tc>
      </w:tr>
    </w:tbl>
    <w:p w14:paraId="140CBB07">
      <w:pPr>
        <w:spacing w:line="360" w:lineRule="auto"/>
        <w:jc w:val="left"/>
        <w:rPr>
          <w:rFonts w:hint="default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auto"/>
          <w:szCs w:val="21"/>
          <w:highlight w:val="none"/>
          <w:lang w:val="en-US" w:eastAsia="zh-CN"/>
        </w:rPr>
        <w:br w:type="page"/>
      </w:r>
    </w:p>
    <w:p w14:paraId="616793D4">
      <w:pPr>
        <w:bidi w:val="0"/>
        <w:jc w:val="left"/>
        <w:rPr>
          <w:rFonts w:hint="default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sectPr>
          <w:footerReference r:id="rId3" w:type="default"/>
          <w:pgSz w:w="11906" w:h="16838"/>
          <w:pgMar w:top="1417" w:right="1417" w:bottom="1417" w:left="1417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p w14:paraId="56400CD0">
      <w:pPr>
        <w:numPr>
          <w:ilvl w:val="0"/>
          <w:numId w:val="0"/>
        </w:numPr>
        <w:rPr>
          <w:rFonts w:hint="eastAsia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cs="宋体"/>
          <w:b/>
          <w:bCs/>
          <w:color w:val="auto"/>
          <w:sz w:val="24"/>
          <w:szCs w:val="24"/>
          <w:highlight w:val="none"/>
          <w:lang w:val="en-US" w:eastAsia="zh-CN"/>
        </w:rPr>
        <w:t>二、技术要求</w:t>
      </w:r>
      <w:bookmarkStart w:id="0" w:name="_GoBack"/>
      <w:bookmarkEnd w:id="0"/>
    </w:p>
    <w:tbl>
      <w:tblPr>
        <w:tblStyle w:val="7"/>
        <w:tblpPr w:leftFromText="180" w:rightFromText="180" w:vertAnchor="text" w:horzAnchor="page" w:tblpX="911" w:tblpY="451"/>
        <w:tblOverlap w:val="never"/>
        <w:tblW w:w="102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8398"/>
        <w:gridCol w:w="1072"/>
      </w:tblGrid>
      <w:tr w14:paraId="256F7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exact"/>
        </w:trPr>
        <w:tc>
          <w:tcPr>
            <w:tcW w:w="819" w:type="dxa"/>
            <w:shd w:val="clear" w:color="auto" w:fill="auto"/>
            <w:vAlign w:val="center"/>
          </w:tcPr>
          <w:p w14:paraId="07C7E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34336A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总体要求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6CAD7BE5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</w:p>
        </w:tc>
      </w:tr>
      <w:tr w14:paraId="5BAEF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exact"/>
        </w:trPr>
        <w:tc>
          <w:tcPr>
            <w:tcW w:w="819" w:type="dxa"/>
            <w:shd w:val="clear" w:color="auto" w:fill="auto"/>
            <w:vAlign w:val="center"/>
          </w:tcPr>
          <w:p w14:paraId="5AD3F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3BB580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满足临床科室和安装场地要求，凡涉及设备安装及施工由中标方负责，提供交钥匙工程。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30550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1DC34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" w:hRule="exact"/>
        </w:trPr>
        <w:tc>
          <w:tcPr>
            <w:tcW w:w="819" w:type="dxa"/>
            <w:vMerge w:val="restart"/>
            <w:shd w:val="clear" w:color="auto" w:fill="auto"/>
            <w:vAlign w:val="center"/>
          </w:tcPr>
          <w:p w14:paraId="1E865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00C340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1）提供产品有效的医疗器械注册证或备案凭证。并提供具有法律法规效力的证明材料，不限于所投产品的注册或委托检验报告或医疗器械产品技术要求、及使用说明书和公开的彩页。</w:t>
            </w:r>
          </w:p>
        </w:tc>
        <w:tc>
          <w:tcPr>
            <w:tcW w:w="1072" w:type="dxa"/>
            <w:vMerge w:val="restart"/>
            <w:shd w:val="clear" w:color="auto" w:fill="auto"/>
            <w:vAlign w:val="center"/>
          </w:tcPr>
          <w:p w14:paraId="60A83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33439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exact"/>
        </w:trPr>
        <w:tc>
          <w:tcPr>
            <w:tcW w:w="819" w:type="dxa"/>
            <w:vMerge w:val="continue"/>
            <w:shd w:val="clear" w:color="auto" w:fill="auto"/>
            <w:vAlign w:val="center"/>
          </w:tcPr>
          <w:p w14:paraId="60BEE7CC"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8398" w:type="dxa"/>
            <w:shd w:val="clear" w:color="auto" w:fill="auto"/>
            <w:vAlign w:val="center"/>
          </w:tcPr>
          <w:p w14:paraId="565F5B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2）投标人需具有有效的医疗器械经营许可证或备案凭证。</w:t>
            </w:r>
          </w:p>
        </w:tc>
        <w:tc>
          <w:tcPr>
            <w:tcW w:w="1072" w:type="dxa"/>
            <w:vMerge w:val="continue"/>
            <w:shd w:val="clear" w:color="auto" w:fill="auto"/>
            <w:vAlign w:val="center"/>
          </w:tcPr>
          <w:p w14:paraId="44C8B889"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5AC7C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819" w:type="dxa"/>
            <w:shd w:val="clear" w:color="auto" w:fill="auto"/>
            <w:vAlign w:val="center"/>
          </w:tcPr>
          <w:p w14:paraId="1A866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202E09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Style w:val="13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仪器配备所有软件使用最新版本且终身免费升级，端口免费开放，能与我院各信息系统无缝对接。</w:t>
            </w:r>
            <w:r>
              <w:rPr>
                <w:rStyle w:val="1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成交价包含LIS/HIS等医院系统接口费、安装费、调试费、维保费等所有费用。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793BE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1C2E1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819" w:type="dxa"/>
            <w:shd w:val="clear" w:color="auto" w:fill="auto"/>
            <w:vAlign w:val="center"/>
          </w:tcPr>
          <w:p w14:paraId="7DC0A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2B19F6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不得另外配置需要使用专用耗材或试剂的设备。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6608A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04684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819" w:type="dxa"/>
            <w:shd w:val="clear" w:color="auto" w:fill="auto"/>
            <w:vAlign w:val="center"/>
          </w:tcPr>
          <w:p w14:paraId="1CFA6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78078E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请提供所投产品主要配件的名称、品牌、规格型号及单价。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7456B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35329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exact"/>
        </w:trPr>
        <w:tc>
          <w:tcPr>
            <w:tcW w:w="819" w:type="dxa"/>
            <w:shd w:val="clear" w:color="auto" w:fill="auto"/>
            <w:vAlign w:val="center"/>
          </w:tcPr>
          <w:p w14:paraId="2DD65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FF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0F3634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FF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每个产品（中央监护系统、床旁心电监护仪、遥测监护盒）单独报价，并提供品牌、型号、产地和单价。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0795B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29606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9" w:type="dxa"/>
            <w:shd w:val="clear" w:color="auto" w:fill="auto"/>
            <w:vAlign w:val="center"/>
          </w:tcPr>
          <w:p w14:paraId="32F72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03E1D4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数量：单价据实采购。提供投标床旁心电监护仪和遥测监护盒样机。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05B30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68837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9" w:type="dxa"/>
            <w:shd w:val="clear" w:color="auto" w:fill="auto"/>
            <w:vAlign w:val="center"/>
          </w:tcPr>
          <w:p w14:paraId="22241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5EC7DA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服务期限（供货周期）：自合同签订生效之日起2年。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3A12B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0FA83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9" w:type="dxa"/>
            <w:shd w:val="clear" w:color="auto" w:fill="auto"/>
            <w:vAlign w:val="center"/>
          </w:tcPr>
          <w:p w14:paraId="704EE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D0D0D" w:themeColor="text1" w:themeTint="F2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D0D0D" w:themeColor="text1" w:themeTint="F2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二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320ED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D0D0D" w:themeColor="text1" w:themeTint="F2"/>
                <w:sz w:val="21"/>
                <w:szCs w:val="21"/>
                <w:lang w:val="zh-CN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15"/>
                <w:rFonts w:hint="eastAsia" w:ascii="宋体" w:hAnsi="宋体" w:eastAsia="宋体" w:cs="宋体"/>
                <w:b/>
                <w:bCs/>
                <w:color w:val="0D0D0D" w:themeColor="text1" w:themeTint="F2"/>
                <w:sz w:val="21"/>
                <w:szCs w:val="21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技术要求   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6A529C51"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58BC9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9" w:type="dxa"/>
            <w:shd w:val="clear" w:color="auto" w:fill="auto"/>
            <w:vAlign w:val="center"/>
          </w:tcPr>
          <w:p w14:paraId="345D8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6E6FF3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pacing w:val="-4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中央监护站  数量：据实采购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25CE8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666BD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exact"/>
        </w:trPr>
        <w:tc>
          <w:tcPr>
            <w:tcW w:w="819" w:type="dxa"/>
            <w:shd w:val="clear" w:color="auto" w:fill="auto"/>
            <w:vAlign w:val="center"/>
          </w:tcPr>
          <w:p w14:paraId="6969E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34C6AB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知名品牌、市场主流配置商用机，非组装机，2026款新机；主机内存≥8GB，可扩展显卡；固态硬盘容量 ≥500GB，可扩展硬盘。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0287A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6511F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9" w:type="dxa"/>
            <w:shd w:val="clear" w:color="auto" w:fill="auto"/>
            <w:vAlign w:val="center"/>
          </w:tcPr>
          <w:p w14:paraId="78DDD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5B2271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显示屏尺寸≥21英寸彩色液晶屏，分辨率≥1920×1080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66289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72F4B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9" w:type="dxa"/>
            <w:shd w:val="clear" w:color="auto" w:fill="auto"/>
            <w:vAlign w:val="center"/>
          </w:tcPr>
          <w:p w14:paraId="7B4D8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6F1604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多屏≥32张床位。在中央站上能够看到床旁监护仪所有信息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552A8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54B6C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9" w:type="dxa"/>
            <w:shd w:val="clear" w:color="auto" w:fill="auto"/>
            <w:vAlign w:val="center"/>
          </w:tcPr>
          <w:p w14:paraId="0427C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4DFF616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同屏显示≥16床的监护波形和数据信息，可以观察任意单床的所有波形、参数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0EE32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01484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exact"/>
        </w:trPr>
        <w:tc>
          <w:tcPr>
            <w:tcW w:w="819" w:type="dxa"/>
            <w:shd w:val="clear" w:color="auto" w:fill="auto"/>
            <w:vAlign w:val="center"/>
          </w:tcPr>
          <w:p w14:paraId="1532E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22E0194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具有趋势图/表回顾、事件回顾、呼吸氧合图回顾和全息波形回顾，具备心律失常统计等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56F4F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12DFC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9" w:type="dxa"/>
            <w:shd w:val="clear" w:color="auto" w:fill="auto"/>
            <w:vAlign w:val="center"/>
          </w:tcPr>
          <w:p w14:paraId="68AA8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7B93C6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中央站可以显示监护仪及被监护仪集成的其他床旁设备的报警信息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50BE4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3CFE5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9" w:type="dxa"/>
            <w:shd w:val="clear" w:color="auto" w:fill="auto"/>
            <w:vAlign w:val="center"/>
          </w:tcPr>
          <w:p w14:paraId="63CFC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18A75B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能够支持高、中、低三个报警级别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14C75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22E58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9" w:type="dxa"/>
            <w:shd w:val="clear" w:color="auto" w:fill="auto"/>
            <w:vAlign w:val="center"/>
          </w:tcPr>
          <w:p w14:paraId="5806D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27689C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具备报警集中设置功能，可在同一菜单中对病人的监测参数的报警开关及报警限进行设置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2E683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01A65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819" w:type="dxa"/>
            <w:shd w:val="clear" w:color="auto" w:fill="auto"/>
            <w:vAlign w:val="center"/>
          </w:tcPr>
          <w:p w14:paraId="01FCA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59C180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具备中心监护系统静音功能、报警列表功能和报警统计功能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7E5E3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570C2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19" w:type="dxa"/>
            <w:shd w:val="clear" w:color="auto" w:fill="auto"/>
            <w:vAlign w:val="center"/>
          </w:tcPr>
          <w:p w14:paraId="1D6FB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1.10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0E2449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具备≥240小时趋势数据存储、全息波形数据存储、ST片段数据存储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207C5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244F1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</w:trPr>
        <w:tc>
          <w:tcPr>
            <w:tcW w:w="819" w:type="dxa"/>
            <w:shd w:val="clear" w:color="auto" w:fill="auto"/>
            <w:vAlign w:val="center"/>
          </w:tcPr>
          <w:p w14:paraId="7D3D0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1.11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32603A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支持≥3000条事件存储，事件类型应包括报警事件及手动事件。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3F083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62135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</w:trPr>
        <w:tc>
          <w:tcPr>
            <w:tcW w:w="819" w:type="dxa"/>
            <w:shd w:val="clear" w:color="auto" w:fill="auto"/>
            <w:vAlign w:val="center"/>
          </w:tcPr>
          <w:p w14:paraId="0B3B2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1.12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5D86DC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接口开放，可与医院的HIS、LIS等无缝连接。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370A0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10F7F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819" w:type="dxa"/>
            <w:shd w:val="clear" w:color="auto" w:fill="auto"/>
            <w:vAlign w:val="center"/>
          </w:tcPr>
          <w:p w14:paraId="37711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1.13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559029B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可以和同品牌的床旁心电监护仪、遥测监护盒组成中央监护系统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5B684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52724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819" w:type="dxa"/>
            <w:shd w:val="clear" w:color="auto" w:fill="auto"/>
            <w:vAlign w:val="center"/>
          </w:tcPr>
          <w:p w14:paraId="33C43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1.14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573FD9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具有一键式开机进入中央监护系统功能，双硬盘备份存储数据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2145C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2127A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819" w:type="dxa"/>
            <w:shd w:val="clear" w:color="auto" w:fill="auto"/>
            <w:vAlign w:val="center"/>
          </w:tcPr>
          <w:p w14:paraId="732CB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4D6A96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床旁监护仪  数量：据实采购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3A630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61F67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819" w:type="dxa"/>
            <w:shd w:val="clear" w:color="auto" w:fill="auto"/>
            <w:vAlign w:val="center"/>
          </w:tcPr>
          <w:p w14:paraId="4A94C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1641CE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适用范围：用于成人、儿童和新生儿的生理参数监测。可用于病人转运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7C9B6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1033A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exact"/>
        </w:trPr>
        <w:tc>
          <w:tcPr>
            <w:tcW w:w="819" w:type="dxa"/>
            <w:shd w:val="clear" w:color="auto" w:fill="auto"/>
            <w:vAlign w:val="center"/>
          </w:tcPr>
          <w:p w14:paraId="4CD03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5F0A49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支持有线或无线联网功能，并开放网络端口。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2B67A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06BBA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819" w:type="dxa"/>
            <w:shd w:val="clear" w:color="auto" w:fill="auto"/>
            <w:vAlign w:val="center"/>
          </w:tcPr>
          <w:p w14:paraId="77FD2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4B2504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标配：3/5导标配心电，呼吸，无创血压，血氧饱和度，脉率，体温，可充电电池</w:t>
            </w:r>
          </w:p>
        </w:tc>
        <w:tc>
          <w:tcPr>
            <w:tcW w:w="1072" w:type="dxa"/>
            <w:shd w:val="clear" w:color="auto" w:fill="auto"/>
            <w:vAlign w:val="top"/>
          </w:tcPr>
          <w:p w14:paraId="30E75A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48CDF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exact"/>
        </w:trPr>
        <w:tc>
          <w:tcPr>
            <w:tcW w:w="819" w:type="dxa"/>
            <w:shd w:val="clear" w:color="auto" w:fill="auto"/>
            <w:vAlign w:val="center"/>
          </w:tcPr>
          <w:p w14:paraId="6ADED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7C6B55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主机屏幕一体化设计，尺寸≥10英寸，触摸屏，无风扇设计</w:t>
            </w:r>
          </w:p>
        </w:tc>
        <w:tc>
          <w:tcPr>
            <w:tcW w:w="1072" w:type="dxa"/>
            <w:shd w:val="clear" w:color="auto" w:fill="auto"/>
            <w:vAlign w:val="top"/>
          </w:tcPr>
          <w:p w14:paraId="554F40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75468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819" w:type="dxa"/>
            <w:shd w:val="clear" w:color="auto" w:fill="auto"/>
            <w:vAlign w:val="center"/>
          </w:tcPr>
          <w:p w14:paraId="2C278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255F73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显示界面：全中文操作界面，可实时显示12导心电图。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50C00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053D8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819" w:type="dxa"/>
            <w:shd w:val="clear" w:color="auto" w:fill="auto"/>
            <w:vAlign w:val="center"/>
          </w:tcPr>
          <w:p w14:paraId="6CCC1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18CA8A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可以和中央监护系统联网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49DDC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631A0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exact"/>
        </w:trPr>
        <w:tc>
          <w:tcPr>
            <w:tcW w:w="819" w:type="dxa"/>
            <w:shd w:val="clear" w:color="auto" w:fill="auto"/>
            <w:vAlign w:val="center"/>
          </w:tcPr>
          <w:p w14:paraId="5F921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6C8029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可进行实时12导联-ST 分析，≥10种专业心律失常监测分析，QT/QTC 报警和12导联的ST段分析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746D0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1AEED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819" w:type="dxa"/>
            <w:shd w:val="clear" w:color="auto" w:fill="auto"/>
            <w:vAlign w:val="center"/>
          </w:tcPr>
          <w:p w14:paraId="7F13C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2AE809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心律失常分析和ST分析功能：可进行≥12导联的ST分析；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005BD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768FA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819" w:type="dxa"/>
            <w:shd w:val="clear" w:color="auto" w:fill="auto"/>
            <w:vAlign w:val="center"/>
          </w:tcPr>
          <w:p w14:paraId="00739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5828A5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心率：具有起搏检测功能，心率范围：≥15～300次/分，精度±1%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4B4EC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5B07B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819" w:type="dxa"/>
            <w:shd w:val="clear" w:color="auto" w:fill="auto"/>
            <w:vAlign w:val="center"/>
          </w:tcPr>
          <w:p w14:paraId="009AA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2.10 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520F2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每台设备提供捆绑式（新生儿专用）和指套式指脉氧各一套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3CA37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6E5DD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819" w:type="dxa"/>
            <w:shd w:val="clear" w:color="auto" w:fill="auto"/>
            <w:vAlign w:val="center"/>
          </w:tcPr>
          <w:p w14:paraId="5BE55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2.11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38AF60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呼吸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25961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00B2A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819" w:type="dxa"/>
            <w:shd w:val="clear" w:color="auto" w:fill="auto"/>
            <w:vAlign w:val="center"/>
          </w:tcPr>
          <w:p w14:paraId="34E37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2.12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402828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呼吸范围：≥0～60次/分；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77DF3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6ECBC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819" w:type="dxa"/>
            <w:shd w:val="clear" w:color="auto" w:fill="auto"/>
            <w:vAlign w:val="center"/>
          </w:tcPr>
          <w:p w14:paraId="0B338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2.13 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48DDC9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阻抗法监测呼吸，具有“自动”和“手动”两种检测模式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64CF3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01624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819" w:type="dxa"/>
            <w:shd w:val="clear" w:color="auto" w:fill="auto"/>
            <w:vAlign w:val="center"/>
          </w:tcPr>
          <w:p w14:paraId="7C1A4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2.14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7207C6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无创血压  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1A455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2AA02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819" w:type="dxa"/>
            <w:shd w:val="clear" w:color="auto" w:fill="auto"/>
            <w:vAlign w:val="center"/>
          </w:tcPr>
          <w:p w14:paraId="50571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2.15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68B680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具有手动、自动、连续测量模式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3778E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442F9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819" w:type="dxa"/>
            <w:shd w:val="clear" w:color="auto" w:fill="auto"/>
            <w:vAlign w:val="center"/>
          </w:tcPr>
          <w:p w14:paraId="1E342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2.16 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58C8F7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可存储、回放多组NIBP测量结果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589F6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29264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819" w:type="dxa"/>
            <w:shd w:val="clear" w:color="auto" w:fill="auto"/>
            <w:vAlign w:val="center"/>
          </w:tcPr>
          <w:p w14:paraId="503DC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2.17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6DEEE2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收缩压范围：≥30～270 mmHg； 舒张压范围：≥10～240mmHg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282A9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23A74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819" w:type="dxa"/>
            <w:shd w:val="clear" w:color="auto" w:fill="auto"/>
            <w:vAlign w:val="center"/>
          </w:tcPr>
          <w:p w14:paraId="2CB25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2.18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6357E2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每台设备提供新生儿和成人型袖带各一条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31BC4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2860A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819" w:type="dxa"/>
            <w:shd w:val="clear" w:color="auto" w:fill="auto"/>
            <w:vAlign w:val="center"/>
          </w:tcPr>
          <w:p w14:paraId="3B9C0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2.19 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5BE406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数据存储：可存储、查看≥48小时的数据趋势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5527A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4B13A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819" w:type="dxa"/>
            <w:shd w:val="clear" w:color="auto" w:fill="auto"/>
            <w:vAlign w:val="center"/>
          </w:tcPr>
          <w:p w14:paraId="05754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2.20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00F0B0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可充电电池：充满电工作长达≥3小时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52E02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4E8EF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819" w:type="dxa"/>
            <w:shd w:val="clear" w:color="auto" w:fill="auto"/>
            <w:vAlign w:val="center"/>
          </w:tcPr>
          <w:p w14:paraId="3BF2F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2.21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02F984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视频输出可选配使用更大尺寸的外接显示屏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78076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0C65C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819" w:type="dxa"/>
            <w:shd w:val="clear" w:color="auto" w:fill="auto"/>
            <w:vAlign w:val="center"/>
          </w:tcPr>
          <w:p w14:paraId="2661D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2.22 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583690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可升级有创压监测、二氧化碳监测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3410E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6D2E8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819" w:type="dxa"/>
            <w:shd w:val="clear" w:color="auto" w:fill="auto"/>
            <w:vAlign w:val="center"/>
          </w:tcPr>
          <w:p w14:paraId="4A6D4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2.23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4478E8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产品使用寿命≥10年，提供铭牌或原版说明书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188DB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2F36A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819" w:type="dxa"/>
            <w:shd w:val="clear" w:color="auto" w:fill="auto"/>
            <w:vAlign w:val="center"/>
          </w:tcPr>
          <w:p w14:paraId="2CFD1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149A53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遥测监护盒  数量：据实采购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1D35B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4694F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819" w:type="dxa"/>
            <w:shd w:val="clear" w:color="auto" w:fill="auto"/>
            <w:vAlign w:val="center"/>
          </w:tcPr>
          <w:p w14:paraId="632C2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5BF65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标配心电监测，提供HR，ST，PI测量值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00C93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0201B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819" w:type="dxa"/>
            <w:shd w:val="clear" w:color="auto" w:fill="auto"/>
            <w:vAlign w:val="center"/>
          </w:tcPr>
          <w:p w14:paraId="62B93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574C83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提供3/5导心电监护，支持多道ECG波形监测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26821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7D42B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819" w:type="dxa"/>
            <w:shd w:val="clear" w:color="auto" w:fill="auto"/>
            <w:vAlign w:val="center"/>
          </w:tcPr>
          <w:p w14:paraId="14316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0F221D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可升级选配血氧、无创血压监测，提供SpO2，PR，NIBP测量值。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222C3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6AB6B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819" w:type="dxa"/>
            <w:shd w:val="clear" w:color="auto" w:fill="auto"/>
            <w:vAlign w:val="center"/>
          </w:tcPr>
          <w:p w14:paraId="56C93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3.4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0B6949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心率测量范围：≥15–300 bpm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74037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76EBB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819" w:type="dxa"/>
            <w:shd w:val="clear" w:color="auto" w:fill="auto"/>
            <w:vAlign w:val="center"/>
          </w:tcPr>
          <w:p w14:paraId="7C30E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6F9B4F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提供≥20种心律失常事件的分析，血氧饱和度测量范围：0-100%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110FD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22696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819" w:type="dxa"/>
            <w:shd w:val="clear" w:color="auto" w:fill="auto"/>
            <w:vAlign w:val="center"/>
          </w:tcPr>
          <w:p w14:paraId="672E8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3.6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1937C7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具有LED报警灯，能够进行三级报警状态显示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186FB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74027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819" w:type="dxa"/>
            <w:shd w:val="clear" w:color="auto" w:fill="auto"/>
            <w:vAlign w:val="center"/>
          </w:tcPr>
          <w:p w14:paraId="0C9C1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3.7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7F820B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波速提供25 mm/s、12.5 mm/s、6.25 mm/s可选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7BD73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0BF19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819" w:type="dxa"/>
            <w:shd w:val="clear" w:color="auto" w:fill="auto"/>
            <w:vAlign w:val="center"/>
          </w:tcPr>
          <w:p w14:paraId="7F482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3.8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75FD78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心电波形增益档位分为×0.125, ×0.25, ×0.5, ×1, ×2, ×4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563FE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4020D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819" w:type="dxa"/>
            <w:shd w:val="clear" w:color="auto" w:fill="auto"/>
            <w:vAlign w:val="center"/>
          </w:tcPr>
          <w:p w14:paraId="2A153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3.9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1B51EF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提供监护，手术和ST模式三种滤波模式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45B86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25F39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exact"/>
        </w:trPr>
        <w:tc>
          <w:tcPr>
            <w:tcW w:w="819" w:type="dxa"/>
            <w:shd w:val="clear" w:color="auto" w:fill="auto"/>
            <w:vAlign w:val="center"/>
          </w:tcPr>
          <w:p w14:paraId="7F4F9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3.10 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34C0AC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提供单个，多个ST值报警，并支持相对的报警限设置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08EC9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148E8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819" w:type="dxa"/>
            <w:shd w:val="clear" w:color="auto" w:fill="auto"/>
            <w:vAlign w:val="center"/>
          </w:tcPr>
          <w:p w14:paraId="6E93A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3.11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54EAC4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提供起搏分析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13EBE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27D1C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819" w:type="dxa"/>
            <w:shd w:val="clear" w:color="auto" w:fill="auto"/>
            <w:vAlign w:val="center"/>
          </w:tcPr>
          <w:p w14:paraId="4F6AB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3.12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6BFE4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遥测盒提供可充电电池或锂电池供电，可工作≥72小时，提供电池类型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72186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2D977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819" w:type="dxa"/>
            <w:shd w:val="clear" w:color="auto" w:fill="auto"/>
            <w:vAlign w:val="center"/>
          </w:tcPr>
          <w:p w14:paraId="373B8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3.13 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0DCBE5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遥测发射盒具有智能休眠功能，节约电池耗电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2A7D6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4DE54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819" w:type="dxa"/>
            <w:shd w:val="clear" w:color="auto" w:fill="auto"/>
            <w:vAlign w:val="center"/>
          </w:tcPr>
          <w:p w14:paraId="5A6D6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3.14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5E5E94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防水等级符合≥IPX1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4EBE6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278CC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819" w:type="dxa"/>
            <w:shd w:val="clear" w:color="auto" w:fill="auto"/>
            <w:vAlign w:val="center"/>
          </w:tcPr>
          <w:p w14:paraId="2F271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3.15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721F8B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产品使用寿命≥8年，提供铭牌或原版说明书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1706A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5A854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819" w:type="dxa"/>
            <w:shd w:val="clear" w:color="auto" w:fill="auto"/>
            <w:vAlign w:val="center"/>
          </w:tcPr>
          <w:p w14:paraId="3FB90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1818D4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中央监护站、床旁监护仪和遥测监护盒为同一品牌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124E8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7C66B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819" w:type="dxa"/>
            <w:shd w:val="clear" w:color="auto" w:fill="auto"/>
            <w:vAlign w:val="center"/>
          </w:tcPr>
          <w:p w14:paraId="0BA77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10689E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中央监护站、床旁监护仪和遥测监护盒可以组成中央监护系统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084AF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074C5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819" w:type="dxa"/>
            <w:shd w:val="clear" w:color="auto" w:fill="auto"/>
            <w:vAlign w:val="center"/>
          </w:tcPr>
          <w:p w14:paraId="2B686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316206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根据科室布局合理布线，保证各病房有良好的信号覆盖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59D7A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374EA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819" w:type="dxa"/>
            <w:shd w:val="clear" w:color="auto" w:fill="auto"/>
            <w:vAlign w:val="center"/>
          </w:tcPr>
          <w:p w14:paraId="587D5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151003D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技术及售后服务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1E9E3C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AC87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819" w:type="dxa"/>
            <w:shd w:val="clear" w:color="auto" w:fill="auto"/>
            <w:vAlign w:val="center"/>
          </w:tcPr>
          <w:p w14:paraId="605ED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3E90A3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保修期：6年（自验收合格之日起）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0152B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5585C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819" w:type="dxa"/>
            <w:shd w:val="clear" w:color="auto" w:fill="auto"/>
            <w:vAlign w:val="center"/>
          </w:tcPr>
          <w:p w14:paraId="35381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17C021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中标方应对设备操作及维修人员进行操作及维修培训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1512C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4B3EE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819" w:type="dxa"/>
            <w:shd w:val="clear" w:color="auto" w:fill="auto"/>
            <w:vAlign w:val="center"/>
          </w:tcPr>
          <w:p w14:paraId="6FBA3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639E84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维修保障：提供中文说明书、操作手册、维修手册、维修密码，软件系终身免费升级。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7390A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4695B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819" w:type="dxa"/>
            <w:shd w:val="clear" w:color="auto" w:fill="auto"/>
            <w:vAlign w:val="center"/>
          </w:tcPr>
          <w:p w14:paraId="0F9F7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6FE35A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国产设备的生产日期为安装日期6个月内，进口设备的生产日期为安装日期12个月内。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55973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4FB09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3" w:hRule="exact"/>
        </w:trPr>
        <w:tc>
          <w:tcPr>
            <w:tcW w:w="819" w:type="dxa"/>
            <w:shd w:val="clear" w:color="auto" w:fill="auto"/>
            <w:vAlign w:val="center"/>
          </w:tcPr>
          <w:p w14:paraId="7BBDE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6B48C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一个月内非人为质量问题提供换货。设备出现故障时2个小时内响应并提供维修方案，24小时内到达现场，郑州有常驻工程师，提供工程师姓名及联系方式。每年工程师提供至少4次的免费上门维护保养工作。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68430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77388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819" w:type="dxa"/>
            <w:shd w:val="clear" w:color="auto" w:fill="auto"/>
            <w:vAlign w:val="center"/>
          </w:tcPr>
          <w:p w14:paraId="526AB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7E2C7E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提供专业维修工具1套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492EB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1284F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exact"/>
        </w:trPr>
        <w:tc>
          <w:tcPr>
            <w:tcW w:w="819" w:type="dxa"/>
            <w:shd w:val="clear" w:color="auto" w:fill="auto"/>
            <w:vAlign w:val="center"/>
          </w:tcPr>
          <w:p w14:paraId="78BD4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1FA8EB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到货时间：接到采购人通知30个日历天内。紧急情况下，接到采购人通知2个日历天送到。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43FD6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</w:tbl>
    <w:p w14:paraId="273E94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rPr>
          <w:color w:val="auto"/>
          <w:highlight w:val="none"/>
        </w:rPr>
      </w:pPr>
      <w:r>
        <w:rPr>
          <w:rFonts w:hint="eastAsia"/>
          <w:b/>
          <w:bCs/>
          <w:color w:val="auto"/>
          <w:highlight w:val="none"/>
        </w:rPr>
        <w:t>特别说明：采购需求中带“★”项为本次磋商实质性要求和条件，不满足（负偏差）的其响应文件按无效响应处理。</w:t>
      </w:r>
    </w:p>
    <w:sectPr>
      <w:footerReference r:id="rId4" w:type="default"/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27F10F">
    <w:pPr>
      <w:tabs>
        <w:tab w:val="center" w:pos="4153"/>
        <w:tab w:val="right" w:pos="8306"/>
      </w:tabs>
      <w:spacing w:line="360" w:lineRule="auto"/>
      <w:jc w:val="left"/>
      <w:rPr>
        <w:rFonts w:ascii="宋体" w:hAnsi="宋体" w:eastAsia="宋体" w:cs="宋体"/>
        <w:szCs w:val="21"/>
      </w:rPr>
    </w:pPr>
    <w:r>
      <w:rPr>
        <w:rFonts w:ascii="宋体" w:hAnsi="宋体" w:eastAsia="宋体" w:cs="宋体"/>
        <w:sz w:val="21"/>
        <w:szCs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941B9A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spacing w:line="360" w:lineRule="auto"/>
                            <w:jc w:val="left"/>
                            <w:rPr>
                              <w:rFonts w:ascii="宋体" w:hAnsi="宋体" w:eastAsia="宋体" w:cs="宋体"/>
                              <w:kern w:val="2"/>
                              <w:sz w:val="18"/>
                              <w:szCs w:val="21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kern w:val="2"/>
                              <w:sz w:val="18"/>
                              <w:szCs w:val="21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 w:cs="宋体"/>
                              <w:kern w:val="2"/>
                              <w:sz w:val="18"/>
                              <w:szCs w:val="21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 w:cs="宋体"/>
                              <w:kern w:val="2"/>
                              <w:sz w:val="18"/>
                              <w:szCs w:val="21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kern w:val="2"/>
                              <w:sz w:val="18"/>
                              <w:szCs w:val="21"/>
                              <w:lang w:val="en-US" w:eastAsia="zh-CN" w:bidi="ar-SA"/>
                            </w:rPr>
                            <w:t>3</w:t>
                          </w:r>
                          <w:r>
                            <w:rPr>
                              <w:rFonts w:ascii="宋体" w:hAnsi="宋体" w:eastAsia="宋体" w:cs="宋体"/>
                              <w:kern w:val="2"/>
                              <w:sz w:val="18"/>
                              <w:szCs w:val="21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941B9A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spacing w:line="360" w:lineRule="auto"/>
                      <w:jc w:val="left"/>
                      <w:rPr>
                        <w:rFonts w:ascii="宋体" w:hAnsi="宋体" w:eastAsia="宋体" w:cs="宋体"/>
                        <w:kern w:val="2"/>
                        <w:sz w:val="18"/>
                        <w:szCs w:val="21"/>
                        <w:lang w:val="en-US" w:eastAsia="zh-CN" w:bidi="ar-SA"/>
                      </w:rPr>
                    </w:pPr>
                    <w:r>
                      <w:rPr>
                        <w:rFonts w:ascii="宋体" w:hAnsi="宋体" w:eastAsia="宋体" w:cs="宋体"/>
                        <w:kern w:val="2"/>
                        <w:sz w:val="18"/>
                        <w:szCs w:val="21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宋体" w:hAnsi="宋体" w:eastAsia="宋体" w:cs="宋体"/>
                        <w:kern w:val="2"/>
                        <w:sz w:val="18"/>
                        <w:szCs w:val="21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 w:cs="宋体"/>
                        <w:kern w:val="2"/>
                        <w:sz w:val="18"/>
                        <w:szCs w:val="21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kern w:val="2"/>
                        <w:sz w:val="18"/>
                        <w:szCs w:val="21"/>
                        <w:lang w:val="en-US" w:eastAsia="zh-CN" w:bidi="ar-SA"/>
                      </w:rPr>
                      <w:t>3</w:t>
                    </w:r>
                    <w:r>
                      <w:rPr>
                        <w:rFonts w:ascii="宋体" w:hAnsi="宋体" w:eastAsia="宋体" w:cs="宋体"/>
                        <w:kern w:val="2"/>
                        <w:sz w:val="18"/>
                        <w:szCs w:val="21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C11E55">
    <w:pPr>
      <w:tabs>
        <w:tab w:val="center" w:pos="4153"/>
        <w:tab w:val="right" w:pos="8306"/>
      </w:tabs>
    </w:pPr>
    <w:r>
      <w:rPr>
        <w:sz w:val="2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4B0D9D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4B0D9D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A4EBC"/>
    <w:rsid w:val="00BE7797"/>
    <w:rsid w:val="05777F14"/>
    <w:rsid w:val="06085010"/>
    <w:rsid w:val="0B002D35"/>
    <w:rsid w:val="0D310106"/>
    <w:rsid w:val="154C4F1A"/>
    <w:rsid w:val="165B0C93"/>
    <w:rsid w:val="17FC1CFA"/>
    <w:rsid w:val="1B2D4292"/>
    <w:rsid w:val="20651585"/>
    <w:rsid w:val="211F34E2"/>
    <w:rsid w:val="26C1503C"/>
    <w:rsid w:val="28ED3D5F"/>
    <w:rsid w:val="295E61D7"/>
    <w:rsid w:val="2DB72CF5"/>
    <w:rsid w:val="2F520AEA"/>
    <w:rsid w:val="468E1296"/>
    <w:rsid w:val="472D2CE1"/>
    <w:rsid w:val="48606233"/>
    <w:rsid w:val="4ED4505D"/>
    <w:rsid w:val="56F17803"/>
    <w:rsid w:val="5A940BB2"/>
    <w:rsid w:val="5BB46942"/>
    <w:rsid w:val="5D7874FB"/>
    <w:rsid w:val="6051650D"/>
    <w:rsid w:val="64B61035"/>
    <w:rsid w:val="68A33FC6"/>
    <w:rsid w:val="6E11595B"/>
    <w:rsid w:val="73221C61"/>
    <w:rsid w:val="77251541"/>
    <w:rsid w:val="7C091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pPr>
      <w:spacing w:before="120" w:after="120"/>
    </w:pPr>
    <w:rPr>
      <w:rFonts w:ascii="Arial" w:hAnsi="Arial"/>
      <w:sz w:val="24"/>
      <w:szCs w:val="20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Body Text First Indent 2"/>
    <w:basedOn w:val="3"/>
    <w:next w:val="1"/>
    <w:qFormat/>
    <w:uiPriority w:val="0"/>
    <w:pPr>
      <w:ind w:firstLine="420" w:firstLineChars="2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character" w:customStyle="1" w:styleId="11">
    <w:name w:val="NormalCharacter"/>
    <w:qFormat/>
    <w:uiPriority w:val="0"/>
  </w:style>
  <w:style w:type="character" w:customStyle="1" w:styleId="12">
    <w:name w:val="font2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3">
    <w:name w:val="font3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4">
    <w:name w:val="font4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font51"/>
    <w:basedOn w:val="9"/>
    <w:qFormat/>
    <w:uiPriority w:val="0"/>
    <w:rPr>
      <w:rFonts w:hint="eastAsia" w:ascii="宋体" w:hAnsi="宋体" w:eastAsia="宋体" w:cs="宋体"/>
      <w:b/>
      <w:bCs/>
      <w:color w:val="0000FF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1155</Words>
  <Characters>1205</Characters>
  <Lines>0</Lines>
  <Paragraphs>0</Paragraphs>
  <TotalTime>0</TotalTime>
  <ScaleCrop>false</ScaleCrop>
  <LinksUpToDate>false</LinksUpToDate>
  <CharactersWithSpaces>1210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2026-04-30T07:25:00Z</dcterms:created>
  <dc:creator>Administrator</dc:creator>
  <cp:lastModifiedBy>Moon-Q</cp:lastModifiedBy>
  <dcterms:modified xsi:type="dcterms:W3CDTF">2026-07-02T07:25:21Z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eyJoZGlkIjoiZjRjZmI1MDg1Mzk4MmI4MzgwMzQ2YmU1YWE3MGU2NzIiLCJ1c2VySWQiOiIyMzQ4Mzk4MTAifQ==</vt:lpwstr>
  </property>
  <property fmtid="{D5CDD505-2E9C-101B-9397-08002B2CF9AE}" pid="4" name="ICV">
    <vt:lpwstr>92E3325933BF4D1AAEAEDD11820C8EA3_12</vt:lpwstr>
  </property>
</Properties>
</file>