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A2F00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28"/>
          <w:szCs w:val="28"/>
          <w:highlight w:val="none"/>
          <w:lang w:val="en-US" w:eastAsia="zh-CN"/>
        </w:rPr>
        <w:t>附件2：阜外华中心血管病医院（病人）转运床采购项目采购需求</w:t>
      </w:r>
    </w:p>
    <w:p w14:paraId="760C52E6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8"/>
          <w:szCs w:val="28"/>
          <w:highlight w:val="none"/>
          <w:lang w:val="en-US" w:eastAsia="zh-CN"/>
        </w:rPr>
        <w:t>*一、总体要求：</w:t>
      </w:r>
    </w:p>
    <w:tbl>
      <w:tblPr>
        <w:tblStyle w:val="1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95"/>
        <w:gridCol w:w="7095"/>
        <w:gridCol w:w="725"/>
      </w:tblGrid>
      <w:tr w14:paraId="1BB6F3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center"/>
          </w:tcPr>
          <w:p w14:paraId="35798680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</w:t>
            </w:r>
          </w:p>
        </w:tc>
        <w:tc>
          <w:tcPr>
            <w:tcW w:w="7095" w:type="dxa"/>
            <w:shd w:val="clear" w:color="auto" w:fill="auto"/>
            <w:vAlign w:val="center"/>
          </w:tcPr>
          <w:p w14:paraId="79204E4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满足临床科室和安装场地要求，凡涉及设备安装及施工由中标方负责，提供交钥匙工程。成交价包括安装调试费、维保费等费用。</w:t>
            </w:r>
          </w:p>
        </w:tc>
        <w:tc>
          <w:tcPr>
            <w:tcW w:w="725" w:type="dxa"/>
            <w:vAlign w:val="center"/>
          </w:tcPr>
          <w:p w14:paraId="598E89D1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59BC5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22C776B6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</w:t>
            </w:r>
          </w:p>
        </w:tc>
        <w:tc>
          <w:tcPr>
            <w:tcW w:w="7095" w:type="dxa"/>
            <w:vAlign w:val="center"/>
          </w:tcPr>
          <w:p w14:paraId="24D7564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）投标产品应为知名品牌，产品属于医疗器械的，请投标时提供产品有效的医疗器械注册证或备案凭证。并提供具有法律法规效力的证明材料，包括不限于所投产品的注册或委托检验报告、医疗器械产品技术要求，及使用说明书和公开的彩页。</w:t>
            </w:r>
          </w:p>
          <w:p w14:paraId="30AE12C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2）投标人需具有有效的医疗器械经营许可证或备案凭证。</w:t>
            </w:r>
          </w:p>
        </w:tc>
        <w:tc>
          <w:tcPr>
            <w:tcW w:w="725" w:type="dxa"/>
            <w:vAlign w:val="center"/>
          </w:tcPr>
          <w:p w14:paraId="16663F9A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ADB74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7BCFDBA2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3</w:t>
            </w:r>
          </w:p>
        </w:tc>
        <w:tc>
          <w:tcPr>
            <w:tcW w:w="7095" w:type="dxa"/>
            <w:vAlign w:val="center"/>
          </w:tcPr>
          <w:p w14:paraId="4746A9E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不得另外随机配置需要使用专用耗材或试剂的设备。（提供承诺函）</w:t>
            </w:r>
          </w:p>
        </w:tc>
        <w:tc>
          <w:tcPr>
            <w:tcW w:w="725" w:type="dxa"/>
            <w:vAlign w:val="center"/>
          </w:tcPr>
          <w:p w14:paraId="2DA865C1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E56DC8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4F714C43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  <w:vAlign w:val="center"/>
          </w:tcPr>
          <w:p w14:paraId="79B196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提供产品的主要配件的名称、品牌、型号和单价。</w:t>
            </w:r>
          </w:p>
        </w:tc>
        <w:tc>
          <w:tcPr>
            <w:tcW w:w="725" w:type="dxa"/>
            <w:vAlign w:val="center"/>
          </w:tcPr>
          <w:p w14:paraId="65FF0CB1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352B1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758504F2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  <w:vAlign w:val="center"/>
          </w:tcPr>
          <w:p w14:paraId="696619B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520" w:lineRule="exact"/>
              <w:ind w:firstLine="0" w:firstLineChars="0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数量：16辆</w:t>
            </w:r>
          </w:p>
        </w:tc>
        <w:tc>
          <w:tcPr>
            <w:tcW w:w="725" w:type="dxa"/>
            <w:vAlign w:val="center"/>
          </w:tcPr>
          <w:p w14:paraId="4C4F1E71">
            <w:pPr>
              <w:wordWrap w:val="0"/>
              <w:spacing w:line="520" w:lineRule="exact"/>
              <w:ind w:firstLine="0" w:firstLineChars="0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2240C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E7EA149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6</w:t>
            </w:r>
          </w:p>
        </w:tc>
        <w:tc>
          <w:tcPr>
            <w:tcW w:w="7095" w:type="dxa"/>
            <w:vAlign w:val="center"/>
          </w:tcPr>
          <w:p w14:paraId="1B3E4026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保修期：5年（验收合格之日起）。承诺签合同前提供厂家盖章的保修函。</w:t>
            </w:r>
          </w:p>
        </w:tc>
        <w:tc>
          <w:tcPr>
            <w:tcW w:w="725" w:type="dxa"/>
            <w:vAlign w:val="center"/>
          </w:tcPr>
          <w:p w14:paraId="5D4C6D60">
            <w:pPr>
              <w:wordWrap w:val="0"/>
              <w:spacing w:line="520" w:lineRule="exact"/>
              <w:ind w:firstLine="0" w:firstLineChars="0"/>
              <w:jc w:val="both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47531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3DDFB695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7</w:t>
            </w:r>
          </w:p>
        </w:tc>
        <w:tc>
          <w:tcPr>
            <w:tcW w:w="7095" w:type="dxa"/>
            <w:vAlign w:val="center"/>
          </w:tcPr>
          <w:p w14:paraId="2D042BEB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中标方应对设备操作及维修人员进行操作及维修培训。（提供承诺函）</w:t>
            </w:r>
          </w:p>
        </w:tc>
        <w:tc>
          <w:tcPr>
            <w:tcW w:w="725" w:type="dxa"/>
            <w:vAlign w:val="center"/>
          </w:tcPr>
          <w:p w14:paraId="4B65309B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9C1C8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16129EF9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8</w:t>
            </w:r>
          </w:p>
        </w:tc>
        <w:tc>
          <w:tcPr>
            <w:tcW w:w="7095" w:type="dxa"/>
            <w:vAlign w:val="center"/>
          </w:tcPr>
          <w:p w14:paraId="4EA65409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提供中文说明书、操作手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册。每年由维修工程师提供至少4次的免费上门维护保养工作。（提供承诺函）</w:t>
            </w:r>
          </w:p>
        </w:tc>
        <w:tc>
          <w:tcPr>
            <w:tcW w:w="725" w:type="dxa"/>
            <w:vAlign w:val="center"/>
          </w:tcPr>
          <w:p w14:paraId="5C7474EA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9AB92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41F72902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  <w:vAlign w:val="center"/>
          </w:tcPr>
          <w:p w14:paraId="6AA28F06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国产设备的生产日期为安装日期6个月内，进口设备的生产日期为安装日期12个月内。（提供承诺函）</w:t>
            </w:r>
          </w:p>
        </w:tc>
        <w:tc>
          <w:tcPr>
            <w:tcW w:w="725" w:type="dxa"/>
            <w:vAlign w:val="center"/>
          </w:tcPr>
          <w:p w14:paraId="1A376F15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9F27F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79F25767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  <w:vAlign w:val="center"/>
          </w:tcPr>
          <w:p w14:paraId="522BD15B">
            <w:pPr>
              <w:wordWrap w:val="0"/>
              <w:spacing w:line="520" w:lineRule="exact"/>
              <w:ind w:firstLine="0" w:firstLineChars="0"/>
              <w:jc w:val="left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一个月内非人为质量问题提供换货。设备出现故障时2个小时内响应并提供维修方案，24小时内到达现场，郑州有常驻工程师，提供工程师姓名及联系方式。（提供承诺函）</w:t>
            </w:r>
          </w:p>
        </w:tc>
        <w:tc>
          <w:tcPr>
            <w:tcW w:w="725" w:type="dxa"/>
            <w:vAlign w:val="center"/>
          </w:tcPr>
          <w:p w14:paraId="483AE048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216F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626187D1">
            <w:pPr>
              <w:wordWrap w:val="0"/>
              <w:spacing w:line="520" w:lineRule="exact"/>
              <w:ind w:firstLine="0" w:firstLineChars="0"/>
              <w:jc w:val="center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  <w:vAlign w:val="center"/>
          </w:tcPr>
          <w:p w14:paraId="1EAC3CE7">
            <w:pPr>
              <w:wordWrap w:val="0"/>
              <w:spacing w:line="520" w:lineRule="exact"/>
              <w:ind w:firstLine="0" w:firstLineChars="0"/>
              <w:jc w:val="left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到货时间：接到采购人通知30日历天内。紧急情况接到通知3个日历天内。（提供承诺函）</w:t>
            </w:r>
          </w:p>
        </w:tc>
        <w:tc>
          <w:tcPr>
            <w:tcW w:w="725" w:type="dxa"/>
            <w:vAlign w:val="center"/>
          </w:tcPr>
          <w:p w14:paraId="1D58F7D3">
            <w:pPr>
              <w:wordWrap w:val="0"/>
              <w:spacing w:line="520" w:lineRule="exact"/>
              <w:ind w:firstLine="0" w:firstLineChars="0"/>
              <w:jc w:val="center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FB8BA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  <w:jc w:val="center"/>
        </w:trPr>
        <w:tc>
          <w:tcPr>
            <w:tcW w:w="8515" w:type="dxa"/>
            <w:gridSpan w:val="3"/>
            <w:tcBorders>
              <w:left w:val="nil"/>
              <w:right w:val="nil"/>
            </w:tcBorders>
          </w:tcPr>
          <w:p w14:paraId="729A4B1C">
            <w:pPr>
              <w:wordWrap w:val="0"/>
              <w:spacing w:line="520" w:lineRule="exact"/>
              <w:ind w:firstLine="0" w:firstLineChars="0"/>
              <w:rPr>
                <w:rFonts w:hint="default" w:ascii="宋体" w:hAnsi="宋体" w:eastAsia="宋体" w:cs="宋体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28"/>
                <w:highlight w:val="none"/>
                <w:lang w:val="en-US" w:eastAsia="zh-CN"/>
              </w:rPr>
              <w:t>二、技术要求：</w:t>
            </w:r>
          </w:p>
        </w:tc>
      </w:tr>
      <w:tr w14:paraId="745A8E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B1FB80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*1</w:t>
            </w:r>
          </w:p>
        </w:tc>
        <w:tc>
          <w:tcPr>
            <w:tcW w:w="7095" w:type="dxa"/>
          </w:tcPr>
          <w:p w14:paraId="7C3EC1D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集抢救、转运、留观一体，适合急诊、重症、手术等科室使用</w:t>
            </w:r>
          </w:p>
        </w:tc>
        <w:tc>
          <w:tcPr>
            <w:tcW w:w="725" w:type="dxa"/>
          </w:tcPr>
          <w:p w14:paraId="0592FA9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070E7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007E56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#2</w:t>
            </w:r>
          </w:p>
        </w:tc>
        <w:tc>
          <w:tcPr>
            <w:tcW w:w="7095" w:type="dxa"/>
          </w:tcPr>
          <w:p w14:paraId="62AB73C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双液压平衡柱升降设计，全床液压辅助，经久耐用</w:t>
            </w:r>
          </w:p>
        </w:tc>
        <w:tc>
          <w:tcPr>
            <w:tcW w:w="725" w:type="dxa"/>
          </w:tcPr>
          <w:p w14:paraId="18E6E3C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AABE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4549F59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#3</w:t>
            </w:r>
          </w:p>
        </w:tc>
        <w:tc>
          <w:tcPr>
            <w:tcW w:w="7095" w:type="dxa"/>
          </w:tcPr>
          <w:p w14:paraId="6FA357E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整床安全承重≥300kg，非单点式承重</w:t>
            </w:r>
            <w:r>
              <w:rPr>
                <w:rFonts w:hint="default" w:ascii="仿宋" w:hAnsi="仿宋" w:eastAsia="仿宋" w:cs="仿宋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（提供产品铭牌图片）</w:t>
            </w:r>
          </w:p>
        </w:tc>
        <w:tc>
          <w:tcPr>
            <w:tcW w:w="725" w:type="dxa"/>
          </w:tcPr>
          <w:p w14:paraId="0A24FE4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C1A705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064E4A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4</w:t>
            </w:r>
          </w:p>
        </w:tc>
        <w:tc>
          <w:tcPr>
            <w:tcW w:w="7095" w:type="dxa"/>
          </w:tcPr>
          <w:p w14:paraId="016AF80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床体长度≥210cm，床体宽度≥75cm,床板宽度≥66cm，适用急诊留观等</w:t>
            </w:r>
            <w:r>
              <w:rPr>
                <w:rFonts w:hint="default" w:ascii="仿宋" w:hAnsi="仿宋" w:eastAsia="仿宋" w:cs="仿宋"/>
                <w:b/>
                <w:bCs/>
                <w:sz w:val="22"/>
                <w:szCs w:val="22"/>
                <w:highlight w:val="none"/>
                <w:vertAlign w:val="baseline"/>
                <w:lang w:val="en-US" w:eastAsia="zh-CN"/>
              </w:rPr>
              <w:t>（提供产品铭牌图片）</w:t>
            </w:r>
          </w:p>
        </w:tc>
        <w:tc>
          <w:tcPr>
            <w:tcW w:w="725" w:type="dxa"/>
          </w:tcPr>
          <w:p w14:paraId="06FA51A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BAA22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8A91AD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5</w:t>
            </w:r>
          </w:p>
        </w:tc>
        <w:tc>
          <w:tcPr>
            <w:tcW w:w="7095" w:type="dxa"/>
          </w:tcPr>
          <w:p w14:paraId="1925870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具有整床上升、下降功能，配置双侧操作踏板</w:t>
            </w:r>
          </w:p>
        </w:tc>
        <w:tc>
          <w:tcPr>
            <w:tcW w:w="725" w:type="dxa"/>
          </w:tcPr>
          <w:p w14:paraId="3FE404B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1CDE1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3A0F9A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#6</w:t>
            </w:r>
          </w:p>
        </w:tc>
        <w:tc>
          <w:tcPr>
            <w:tcW w:w="7095" w:type="dxa"/>
          </w:tcPr>
          <w:p w14:paraId="1F906D1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具有一键式复位功能</w:t>
            </w:r>
          </w:p>
        </w:tc>
        <w:tc>
          <w:tcPr>
            <w:tcW w:w="725" w:type="dxa"/>
          </w:tcPr>
          <w:p w14:paraId="0E11E84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78190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453941E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#7</w:t>
            </w:r>
          </w:p>
        </w:tc>
        <w:tc>
          <w:tcPr>
            <w:tcW w:w="7095" w:type="dxa"/>
          </w:tcPr>
          <w:p w14:paraId="0DD949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整床上升下降范围≥30cm</w:t>
            </w:r>
          </w:p>
        </w:tc>
        <w:tc>
          <w:tcPr>
            <w:tcW w:w="725" w:type="dxa"/>
          </w:tcPr>
          <w:p w14:paraId="5E379BF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09B8AD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46E1D1A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#8</w:t>
            </w:r>
          </w:p>
        </w:tc>
        <w:tc>
          <w:tcPr>
            <w:tcW w:w="7095" w:type="dxa"/>
          </w:tcPr>
          <w:p w14:paraId="2F1D460F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床板最低高度≤52cm，便于患者安全上下床，减少坠床风险</w:t>
            </w:r>
          </w:p>
        </w:tc>
        <w:tc>
          <w:tcPr>
            <w:tcW w:w="725" w:type="dxa"/>
          </w:tcPr>
          <w:p w14:paraId="22ED39A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E51C8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D30493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9</w:t>
            </w:r>
          </w:p>
        </w:tc>
        <w:tc>
          <w:tcPr>
            <w:tcW w:w="7095" w:type="dxa"/>
          </w:tcPr>
          <w:p w14:paraId="3228553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提供双侧液压辅助靠背提升、下降功能，角度0-75°可调</w:t>
            </w:r>
          </w:p>
        </w:tc>
        <w:tc>
          <w:tcPr>
            <w:tcW w:w="725" w:type="dxa"/>
          </w:tcPr>
          <w:p w14:paraId="0CC148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564BB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8602F6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10</w:t>
            </w:r>
          </w:p>
        </w:tc>
        <w:tc>
          <w:tcPr>
            <w:tcW w:w="7095" w:type="dxa"/>
          </w:tcPr>
          <w:p w14:paraId="62B646C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提供双侧液压辅助整床前倾、后倾功能，前倾、后倾角度≥18°</w:t>
            </w:r>
          </w:p>
        </w:tc>
        <w:tc>
          <w:tcPr>
            <w:tcW w:w="725" w:type="dxa"/>
          </w:tcPr>
          <w:p w14:paraId="2B1EACF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B3DF2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2A8EB6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11</w:t>
            </w:r>
          </w:p>
        </w:tc>
        <w:tc>
          <w:tcPr>
            <w:tcW w:w="7095" w:type="dxa"/>
          </w:tcPr>
          <w:p w14:paraId="0D120C6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提供一步快速体位功能，可以快速达成屈氏体位或反屈氏体位</w:t>
            </w:r>
          </w:p>
        </w:tc>
        <w:tc>
          <w:tcPr>
            <w:tcW w:w="725" w:type="dxa"/>
          </w:tcPr>
          <w:p w14:paraId="5627D05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78A9DA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15C54C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12</w:t>
            </w:r>
          </w:p>
        </w:tc>
        <w:tc>
          <w:tcPr>
            <w:tcW w:w="7095" w:type="dxa"/>
          </w:tcPr>
          <w:p w14:paraId="688972F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双侧中央刹车功能，直行、万向、刹车功能一体设计</w:t>
            </w:r>
          </w:p>
        </w:tc>
        <w:tc>
          <w:tcPr>
            <w:tcW w:w="725" w:type="dxa"/>
          </w:tcPr>
          <w:p w14:paraId="0C18EB76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2E10B0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D04AA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13</w:t>
            </w:r>
          </w:p>
        </w:tc>
        <w:tc>
          <w:tcPr>
            <w:tcW w:w="7095" w:type="dxa"/>
          </w:tcPr>
          <w:p w14:paraId="52894F2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提供双侧防撞设计，避免床体通过狭窄区造成的安全风险</w:t>
            </w:r>
          </w:p>
        </w:tc>
        <w:tc>
          <w:tcPr>
            <w:tcW w:w="725" w:type="dxa"/>
          </w:tcPr>
          <w:p w14:paraId="1AFF3BA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221B8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684967E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#14</w:t>
            </w:r>
          </w:p>
        </w:tc>
        <w:tc>
          <w:tcPr>
            <w:tcW w:w="7095" w:type="dxa"/>
          </w:tcPr>
          <w:p w14:paraId="133281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提供四角防撞角轮设计，以方便进入电梯或通过狭窄区域</w:t>
            </w:r>
          </w:p>
        </w:tc>
        <w:tc>
          <w:tcPr>
            <w:tcW w:w="725" w:type="dxa"/>
          </w:tcPr>
          <w:p w14:paraId="065DC79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BAAB3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1A9821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15</w:t>
            </w:r>
          </w:p>
        </w:tc>
        <w:tc>
          <w:tcPr>
            <w:tcW w:w="7095" w:type="dxa"/>
          </w:tcPr>
          <w:p w14:paraId="456E5711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床下配置物品槽/架，配置氧气瓶槽，适用于转运病人供氧需求</w:t>
            </w:r>
          </w:p>
        </w:tc>
        <w:tc>
          <w:tcPr>
            <w:tcW w:w="725" w:type="dxa"/>
          </w:tcPr>
          <w:p w14:paraId="13AF38A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21D69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vAlign w:val="center"/>
          </w:tcPr>
          <w:p w14:paraId="76987D7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16</w:t>
            </w:r>
          </w:p>
        </w:tc>
        <w:tc>
          <w:tcPr>
            <w:tcW w:w="7095" w:type="dxa"/>
            <w:vAlign w:val="center"/>
          </w:tcPr>
          <w:p w14:paraId="7FDD35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配置双侧一体式五/六铝合金护栏，可前后方向放平，以方便平行转移病人</w:t>
            </w:r>
          </w:p>
        </w:tc>
        <w:tc>
          <w:tcPr>
            <w:tcW w:w="725" w:type="dxa"/>
            <w:vAlign w:val="center"/>
          </w:tcPr>
          <w:p w14:paraId="5A58D958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8D1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571C3DC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17</w:t>
            </w:r>
          </w:p>
        </w:tc>
        <w:tc>
          <w:tcPr>
            <w:tcW w:w="7095" w:type="dxa"/>
          </w:tcPr>
          <w:p w14:paraId="6E37574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配置4个进口防静电防缠绕的静音脚轮，脚轮直径尺寸≥200cm</w:t>
            </w:r>
          </w:p>
        </w:tc>
        <w:tc>
          <w:tcPr>
            <w:tcW w:w="725" w:type="dxa"/>
          </w:tcPr>
          <w:p w14:paraId="6533DBF3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4D06D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7310569A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18</w:t>
            </w:r>
          </w:p>
        </w:tc>
        <w:tc>
          <w:tcPr>
            <w:tcW w:w="7095" w:type="dxa"/>
          </w:tcPr>
          <w:p w14:paraId="6F2874E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具有一键脚踏式脚轮刹车和释放</w:t>
            </w:r>
          </w:p>
        </w:tc>
        <w:tc>
          <w:tcPr>
            <w:tcW w:w="725" w:type="dxa"/>
          </w:tcPr>
          <w:p w14:paraId="1F3DBAE5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B6F80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19589A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#19</w:t>
            </w:r>
          </w:p>
        </w:tc>
        <w:tc>
          <w:tcPr>
            <w:tcW w:w="7095" w:type="dxa"/>
          </w:tcPr>
          <w:p w14:paraId="2152F4E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前后方配置可隐藏的推车把手，推动方便轻巧</w:t>
            </w:r>
          </w:p>
        </w:tc>
        <w:tc>
          <w:tcPr>
            <w:tcW w:w="725" w:type="dxa"/>
          </w:tcPr>
          <w:p w14:paraId="335CDEC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431B32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091D9D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20</w:t>
            </w:r>
          </w:p>
        </w:tc>
        <w:tc>
          <w:tcPr>
            <w:tcW w:w="7095" w:type="dxa"/>
          </w:tcPr>
          <w:p w14:paraId="7587F164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床体具有组合的整体盖板，避免线路裸露，整体美观、安全</w:t>
            </w:r>
          </w:p>
        </w:tc>
        <w:tc>
          <w:tcPr>
            <w:tcW w:w="725" w:type="dxa"/>
          </w:tcPr>
          <w:p w14:paraId="6B75E41C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35B0DC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22BDF5C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21</w:t>
            </w:r>
          </w:p>
        </w:tc>
        <w:tc>
          <w:tcPr>
            <w:tcW w:w="7095" w:type="dxa"/>
          </w:tcPr>
          <w:p w14:paraId="582B32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配置防褥疮床垫，厚度≥75mmm，避免压疮风险</w:t>
            </w:r>
          </w:p>
        </w:tc>
        <w:tc>
          <w:tcPr>
            <w:tcW w:w="725" w:type="dxa"/>
          </w:tcPr>
          <w:p w14:paraId="53C4298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554BED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78FA35D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22</w:t>
            </w:r>
          </w:p>
        </w:tc>
        <w:tc>
          <w:tcPr>
            <w:tcW w:w="7095" w:type="dxa"/>
          </w:tcPr>
          <w:p w14:paraId="0CDD342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配置原厂三段式输液架2个，可适用于床头、床尾多位置</w:t>
            </w:r>
          </w:p>
        </w:tc>
        <w:tc>
          <w:tcPr>
            <w:tcW w:w="725" w:type="dxa"/>
          </w:tcPr>
          <w:p w14:paraId="3A7398F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6D4A40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</w:tcPr>
          <w:p w14:paraId="453B511D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23</w:t>
            </w:r>
          </w:p>
        </w:tc>
        <w:tc>
          <w:tcPr>
            <w:tcW w:w="7095" w:type="dxa"/>
          </w:tcPr>
          <w:p w14:paraId="65E171A2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配置卡扣式约束带两条</w:t>
            </w:r>
          </w:p>
        </w:tc>
        <w:tc>
          <w:tcPr>
            <w:tcW w:w="725" w:type="dxa"/>
          </w:tcPr>
          <w:p w14:paraId="327E0B4E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  <w:tr w14:paraId="112978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95" w:type="dxa"/>
            <w:shd w:val="clear" w:color="auto" w:fill="auto"/>
            <w:vAlign w:val="top"/>
          </w:tcPr>
          <w:p w14:paraId="16033AF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24</w:t>
            </w:r>
          </w:p>
        </w:tc>
        <w:tc>
          <w:tcPr>
            <w:tcW w:w="7095" w:type="dxa"/>
            <w:shd w:val="clear" w:color="auto" w:fill="auto"/>
            <w:vAlign w:val="top"/>
          </w:tcPr>
          <w:p w14:paraId="3DB94F0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left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产品使用年限：≥10年</w:t>
            </w:r>
          </w:p>
        </w:tc>
        <w:tc>
          <w:tcPr>
            <w:tcW w:w="725" w:type="dxa"/>
            <w:shd w:val="clear" w:color="auto" w:fill="auto"/>
            <w:vAlign w:val="top"/>
          </w:tcPr>
          <w:p w14:paraId="4AD45D8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after="67" w:afterLines="20" w:line="520" w:lineRule="exact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kern w:val="2"/>
                <w:sz w:val="22"/>
                <w:szCs w:val="22"/>
                <w:highlight w:val="none"/>
                <w:vertAlign w:val="baseline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sz w:val="22"/>
                <w:szCs w:val="22"/>
                <w:highlight w:val="none"/>
                <w:vertAlign w:val="baseline"/>
                <w:lang w:val="en-US" w:eastAsia="zh-CN"/>
              </w:rPr>
              <w:t>具备</w:t>
            </w:r>
          </w:p>
        </w:tc>
      </w:tr>
    </w:tbl>
    <w:p w14:paraId="55B1420B">
      <w:pPr>
        <w:wordWrap w:val="0"/>
        <w:spacing w:line="520" w:lineRule="exact"/>
        <w:ind w:firstLine="0" w:firstLineChars="0"/>
        <w:rPr>
          <w:rFonts w:hint="eastAsia" w:ascii="仿宋" w:hAnsi="仿宋" w:eastAsia="仿宋" w:cs="仿宋"/>
          <w:highlight w:val="none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A98CDA2"/>
    <w:multiLevelType w:val="multilevel"/>
    <w:tmpl w:val="FA98CDA2"/>
    <w:lvl w:ilvl="0" w:tentative="0">
      <w:start w:val="1"/>
      <w:numFmt w:val="decimal"/>
      <w:suff w:val="nothing"/>
      <w:lvlText w:val="第%1章 "/>
      <w:lvlJc w:val="left"/>
      <w:pPr>
        <w:ind w:left="0" w:firstLine="0"/>
      </w:pPr>
      <w:rPr>
        <w:rFonts w:hint="eastAsia" w:ascii="微软雅黑" w:eastAsia="微软雅黑"/>
        <w:b w:val="0"/>
        <w:i w:val="0"/>
        <w:sz w:val="36"/>
        <w:szCs w:val="36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</w:lvl>
    <w:lvl w:ilvl="1" w:tentative="0">
      <w:start w:val="1"/>
      <w:numFmt w:val="decimal"/>
      <w:pStyle w:val="3"/>
      <w:suff w:val="nothing"/>
      <w:lvlText w:val="    %2、"/>
      <w:lvlJc w:val="left"/>
      <w:pPr>
        <w:ind w:left="0" w:firstLine="0"/>
      </w:pPr>
      <w:rPr>
        <w:rFonts w:hint="eastAsia" w:ascii="黑体" w:eastAsia="黑体"/>
        <w:b/>
        <w:i w:val="0"/>
        <w:sz w:val="30"/>
        <w:szCs w:val="30"/>
      </w:rPr>
    </w:lvl>
    <w:lvl w:ilvl="2" w:tentative="0">
      <w:start w:val="1"/>
      <w:numFmt w:val="decimal"/>
      <w:suff w:val="nothing"/>
      <w:lvlText w:val="    %2.%3 "/>
      <w:lvlJc w:val="left"/>
      <w:pPr>
        <w:ind w:left="3544" w:firstLine="0"/>
      </w:pPr>
      <w:rPr>
        <w:rFonts w:cs="宋体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</w:rPr>
    </w:lvl>
    <w:lvl w:ilvl="3" w:tentative="0">
      <w:start w:val="1"/>
      <w:numFmt w:val="decimal"/>
      <w:suff w:val="nothing"/>
      <w:lvlText w:val="    %2.%3.%4  "/>
      <w:lvlJc w:val="left"/>
      <w:pPr>
        <w:ind w:left="0" w:firstLine="0"/>
      </w:pPr>
      <w:rPr>
        <w:rFonts w:hint="eastAsia" w:ascii="仿宋_GB2312" w:eastAsia="仿宋_GB2312"/>
        <w:b/>
        <w:i w:val="0"/>
        <w:sz w:val="28"/>
        <w:szCs w:val="28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DF165F"/>
    <w:rsid w:val="00EA4F99"/>
    <w:rsid w:val="06870BE4"/>
    <w:rsid w:val="07230B3C"/>
    <w:rsid w:val="14F0135A"/>
    <w:rsid w:val="1B4D0F4C"/>
    <w:rsid w:val="20DF165F"/>
    <w:rsid w:val="241F3FA3"/>
    <w:rsid w:val="2446705A"/>
    <w:rsid w:val="337B3300"/>
    <w:rsid w:val="49CB29E2"/>
    <w:rsid w:val="4A077580"/>
    <w:rsid w:val="532927F6"/>
    <w:rsid w:val="542C4D81"/>
    <w:rsid w:val="59FE796A"/>
    <w:rsid w:val="656E020E"/>
    <w:rsid w:val="65E55D01"/>
    <w:rsid w:val="71B4216C"/>
    <w:rsid w:val="7557616B"/>
    <w:rsid w:val="7776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80" w:lineRule="exact"/>
      <w:jc w:val="left"/>
    </w:pPr>
    <w:rPr>
      <w:rFonts w:ascii="新宋体" w:hAnsi="新宋体" w:eastAsia="新宋体" w:cs="宋体"/>
      <w:kern w:val="2"/>
      <w:sz w:val="24"/>
      <w:szCs w:val="24"/>
      <w:lang w:val="en-US" w:eastAsia="zh-CN" w:bidi="ar-SA"/>
    </w:rPr>
  </w:style>
  <w:style w:type="paragraph" w:styleId="2">
    <w:name w:val="heading 1"/>
    <w:next w:val="1"/>
    <w:qFormat/>
    <w:uiPriority w:val="0"/>
    <w:pPr>
      <w:keepNext/>
      <w:keepLines/>
      <w:spacing w:beforeLines="0" w:beforeAutospacing="0" w:afterLines="0" w:afterAutospacing="0" w:line="360" w:lineRule="auto"/>
      <w:jc w:val="center"/>
      <w:outlineLvl w:val="0"/>
    </w:pPr>
    <w:rPr>
      <w:rFonts w:ascii="Calibri" w:hAnsi="Calibri" w:eastAsia="新宋体" w:cstheme="minorBidi"/>
      <w:kern w:val="44"/>
      <w:sz w:val="44"/>
    </w:rPr>
  </w:style>
  <w:style w:type="paragraph" w:styleId="3">
    <w:name w:val="heading 2"/>
    <w:next w:val="1"/>
    <w:semiHidden/>
    <w:unhideWhenUsed/>
    <w:qFormat/>
    <w:uiPriority w:val="0"/>
    <w:pPr>
      <w:keepNext/>
      <w:keepLines/>
      <w:numPr>
        <w:ilvl w:val="1"/>
        <w:numId w:val="1"/>
      </w:numPr>
      <w:spacing w:line="360" w:lineRule="auto"/>
      <w:jc w:val="center"/>
      <w:outlineLvl w:val="1"/>
    </w:pPr>
    <w:rPr>
      <w:rFonts w:ascii="Arial" w:hAnsi="Arial" w:eastAsia="新宋体" w:cstheme="minorBidi"/>
      <w:bCs/>
      <w:kern w:val="0"/>
      <w:sz w:val="36"/>
      <w:szCs w:val="32"/>
    </w:rPr>
  </w:style>
  <w:style w:type="paragraph" w:styleId="4">
    <w:name w:val="heading 3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2"/>
    </w:pPr>
    <w:rPr>
      <w:rFonts w:ascii="Calibri" w:hAnsi="Calibri" w:eastAsia="新宋体" w:cstheme="minorBidi"/>
      <w:sz w:val="32"/>
    </w:rPr>
  </w:style>
  <w:style w:type="paragraph" w:styleId="5">
    <w:name w:val="heading 4"/>
    <w:next w:val="1"/>
    <w:semiHidden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3"/>
    </w:pPr>
    <w:rPr>
      <w:rFonts w:ascii="Arial" w:hAnsi="Arial" w:eastAsia="新宋体" w:cstheme="minorBidi"/>
      <w:sz w:val="32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 Indent"/>
    <w:basedOn w:val="1"/>
    <w:next w:val="7"/>
    <w:qFormat/>
    <w:uiPriority w:val="0"/>
    <w:pPr>
      <w:spacing w:after="120"/>
      <w:ind w:left="420" w:leftChars="200"/>
    </w:pPr>
  </w:style>
  <w:style w:type="paragraph" w:styleId="7">
    <w:name w:val="envelope return"/>
    <w:basedOn w:val="1"/>
    <w:qFormat/>
    <w:uiPriority w:val="0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First Indent 2"/>
    <w:basedOn w:val="6"/>
    <w:next w:val="1"/>
    <w:qFormat/>
    <w:uiPriority w:val="0"/>
    <w:pPr>
      <w:ind w:firstLine="420" w:firstLineChars="200"/>
    </w:pPr>
  </w:style>
  <w:style w:type="table" w:styleId="12">
    <w:name w:val="Table Grid"/>
    <w:basedOn w:val="11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Calibri" w:hAnsi="Calibri" w:eastAsia="宋体" w:cs="宋体"/>
      <w:color w:val="000000"/>
      <w:sz w:val="24"/>
      <w:szCs w:val="24"/>
      <w:lang w:val="en-US" w:eastAsia="zh-CN" w:bidi="ar-SA"/>
    </w:rPr>
  </w:style>
  <w:style w:type="table" w:customStyle="1" w:styleId="15">
    <w:name w:val="Table Normal"/>
    <w:autoRedefine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993</Words>
  <Characters>1073</Characters>
  <Lines>0</Lines>
  <Paragraphs>0</Paragraphs>
  <TotalTime>0</TotalTime>
  <ScaleCrop>false</ScaleCrop>
  <LinksUpToDate>false</LinksUpToDate>
  <CharactersWithSpaces>1074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2026-01-13T03:13:00Z</dcterms:created>
  <dc:creator>WPS_1559697855</dc:creator>
  <cp:lastModifiedBy>中建山河</cp:lastModifiedBy>
  <dcterms:modified xsi:type="dcterms:W3CDTF">2026-07-20T04:03:55Z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3D298379233D4F4682736DAF596D4CD7_11</vt:lpwstr>
  </property>
  <property fmtid="{D5CDD505-2E9C-101B-9397-08002B2CF9AE}" pid="4" name="KSOTemplateDocerSaveRecord">
    <vt:lpwstr>eyJoZGlkIjoiNWU5NGI0OTc0YzRmOWI3MTQ2YmRiN2IxN2JlZjY3NDMiLCJ1c2VySWQiOiIyMzM5Nzg4NjMifQ==</vt:lpwstr>
  </property>
</Properties>
</file>