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800B1">
      <w:pPr>
        <w:pStyle w:val="2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  <w:t>一、项目概况</w:t>
      </w:r>
    </w:p>
    <w:p w14:paraId="3433A6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为满足本院临床诊疗需求，填补检验科、病理科暂未开展的检测项目空白，现计划采购第三方检测服务。服务方需提供涵盖样本收取、检测、报告出具及解读、质量控制等全流程的专业服务。</w:t>
      </w:r>
    </w:p>
    <w:p w14:paraId="7A228087">
      <w:pPr>
        <w:pStyle w:val="2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</w:pPr>
      <w:bookmarkStart w:id="0" w:name="_toc_auto_2"/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  <w:t>二、服务内容与要求</w:t>
      </w:r>
      <w:bookmarkEnd w:id="0"/>
    </w:p>
    <w:p w14:paraId="35CDA746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bookmarkStart w:id="1" w:name="_toc_auto_3"/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（一）服务范围</w:t>
      </w:r>
      <w:bookmarkEnd w:id="1"/>
    </w:p>
    <w:p w14:paraId="394BE2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本项目服务范围包括本院临床科室需要，但检验科、病理科暂未开展的检测项目。具体服务范围包括但不限于：病原微生物基因检测、血液肿瘤/实体肿瘤相关检测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详见附件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。</w:t>
      </w:r>
    </w:p>
    <w:p w14:paraId="28E886D3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bookmarkStart w:id="2" w:name="_toc_auto_4"/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（二）具体服务内容</w:t>
      </w:r>
      <w:bookmarkEnd w:id="2"/>
      <w:bookmarkStart w:id="11" w:name="_GoBack"/>
      <w:bookmarkEnd w:id="11"/>
    </w:p>
    <w:p w14:paraId="0578CD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1.非检测操作环节</w:t>
      </w:r>
    </w:p>
    <w:p w14:paraId="032E7E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服务方承担从检测申请单受理与信息登记、标本信息核对、标本核收与预处理、物流交接与跟踪、报告推送、初审与回传、咨询服务、档案与数据管理的全部非检测操作环节，形成无缝闭环管理。</w:t>
      </w:r>
    </w:p>
    <w:p w14:paraId="20B6A5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1.2提供规范的《样本采集要求指导书》并确保传达至相关临床医生。</w:t>
      </w:r>
    </w:p>
    <w:p w14:paraId="149F44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1.3提供符合生物安全要求的样本运输服务。</w:t>
      </w:r>
    </w:p>
    <w:p w14:paraId="624221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1.4物流人员须经过生物安全培训。</w:t>
      </w:r>
    </w:p>
    <w:p w14:paraId="5E0D3C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2.检测与报告服务</w:t>
      </w:r>
    </w:p>
    <w:p w14:paraId="33ADE7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2.1所有检测项目均须在服务方符合资质的第三方实验室内，严格按照国家规范进行全闭环操作。</w:t>
      </w:r>
    </w:p>
    <w:p w14:paraId="0902B6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2.2根据项目临床紧急程度，合理安排检测流程，确保报告及时回传。</w:t>
      </w:r>
    </w:p>
    <w:p w14:paraId="0321F0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2.3报告内容需满足临床诊疗需求，供应商须按照采购单位要求提供及时准确的检验结果。对结果存疑的检验结果快速进行复核并做出合理的解释。</w:t>
      </w:r>
    </w:p>
    <w:p w14:paraId="11DDDC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2.4实验室核心检测、分析人员必须为专业医疗技术人员，具备医学、检验学等相关专业背景及资质，并能应要求提供近一年连续的社保缴纳证明。</w:t>
      </w:r>
    </w:p>
    <w:p w14:paraId="6254F5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3.质量控制与管理</w:t>
      </w:r>
    </w:p>
    <w:p w14:paraId="124098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3.1服务方须明确各检测项目的标本采集、处理、保存要求。</w:t>
      </w:r>
    </w:p>
    <w:p w14:paraId="3FFF84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3.2检测过程中须严格进行复核和样本质量控制，并在报告中详细阐述质控流程及结果。</w:t>
      </w:r>
    </w:p>
    <w:p w14:paraId="75C26F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3.3服务方须提供相关检测项目的标准操作规程（SOP）文件。</w:t>
      </w:r>
    </w:p>
    <w:p w14:paraId="744609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3.4服务方对其出具的检测报告依法承担相应法律责任。</w:t>
      </w:r>
    </w:p>
    <w:p w14:paraId="78C2FB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4.保密与学术支持</w:t>
      </w:r>
    </w:p>
    <w:p w14:paraId="41ABFD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4.1服务方须承担保密义务，未经本院同意，不得向任何第三方泄露委托检测的项目、内容及结果。</w:t>
      </w:r>
    </w:p>
    <w:p w14:paraId="5F7957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4.2应不定期提供专业信息交流，包括开展专题学术讲座、研讨会及资料共享等。</w:t>
      </w:r>
    </w:p>
    <w:p w14:paraId="19AD392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5.剩余标本与异议处理</w:t>
      </w:r>
    </w:p>
    <w:p w14:paraId="295F03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5.1如本院对检测结果有异议，应在报告发出后2周内提出。</w:t>
      </w:r>
    </w:p>
    <w:p w14:paraId="220FC1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对于检验已完成的标本，如无需继续保存的，供应商须作无害化处理，处理费用由供应商承担。如有特殊需求，医院可以要求在检测样本有剩余的前提下，将剩余样本回寄医院。</w:t>
      </w:r>
    </w:p>
    <w:p w14:paraId="7A85BD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  <w:t>6.新增项目需求</w:t>
      </w:r>
    </w:p>
    <w:p w14:paraId="72D2FE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当合同期内采购人新增检测项目时，由合同双方协商，签订补充协议以满足采购人需求。</w:t>
      </w:r>
    </w:p>
    <w:p w14:paraId="1C7A2E97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bookmarkStart w:id="3" w:name="_toc_auto_5"/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（三）人员与设备要求</w:t>
      </w:r>
      <w:bookmarkEnd w:id="3"/>
    </w:p>
    <w:p w14:paraId="41CBB6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1.物流人员经过生物安全培训，保证按时收取标本。</w:t>
      </w:r>
    </w:p>
    <w:p w14:paraId="5DDE9B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2.服务人员须保证24小时电话畅通。</w:t>
      </w:r>
    </w:p>
    <w:p w14:paraId="750A5A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3.实验室人员须具备相应资质，责任心强，工作严谨，分析能力强且细致。</w:t>
      </w:r>
    </w:p>
    <w:p w14:paraId="5969472A">
      <w:pPr>
        <w:pStyle w:val="2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</w:pPr>
      <w:bookmarkStart w:id="4" w:name="_toc_auto_6"/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  <w:t>三、报价与结算要求</w:t>
      </w:r>
      <w:bookmarkEnd w:id="4"/>
    </w:p>
    <w:p w14:paraId="49935D90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（一）投标报价</w:t>
      </w:r>
    </w:p>
    <w:p w14:paraId="758D6B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1.具备河南省医疗服务价格编码的检测项目：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物价收费遵照河南省医疗保障局、河南省卫生健康委最新版医疗服务价格汇编执行。</w:t>
      </w:r>
    </w:p>
    <w:p w14:paraId="16234B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2.无河南省统一医疗服务价格编码的检测项目：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服务方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结合项目实际情况和自身实力，综合考虑本项目工作范围和服务要求，自主填报单项单价。应充分考虑项目完成周期内的物价上涨、政策性调整等诸多因素以及由此引起的费用变动风险并计入报价中。</w:t>
      </w:r>
    </w:p>
    <w:p w14:paraId="37B4A7C6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）结算方式</w:t>
      </w:r>
    </w:p>
    <w:p w14:paraId="68EEA4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检测费用由患者或其法定代理人直接向服务方缴纳。</w:t>
      </w:r>
    </w:p>
    <w:p w14:paraId="3A8B1A8C">
      <w:pPr>
        <w:pStyle w:val="2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</w:pPr>
      <w:bookmarkStart w:id="5" w:name="_toc_auto_7"/>
      <w:bookmarkStart w:id="6" w:name="OLE_LINK1"/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  <w:t>四、商务要求</w:t>
      </w:r>
      <w:bookmarkEnd w:id="5"/>
    </w:p>
    <w:p w14:paraId="790B3C99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bookmarkStart w:id="7" w:name="_toc_auto_8"/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（一）供应商资格</w:t>
      </w:r>
      <w:bookmarkEnd w:id="7"/>
    </w:p>
    <w:p w14:paraId="497694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具备法律、行政法规规定的其他条件。</w:t>
      </w:r>
    </w:p>
    <w:p w14:paraId="28EEB0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2.供应商需具有行政主管部门颁发的在有效期内的《医疗机构执业许可证》《临床基因扩增检验实验室技术验收合格证书》以及感染性病原检测实验室的《二级生物安全备案证明》。</w:t>
      </w:r>
    </w:p>
    <w:p w14:paraId="3563A89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eastAsia="zh-CN"/>
        </w:rPr>
        <w:t>）患者权益保障要求</w:t>
      </w:r>
      <w:bookmarkStart w:id="8" w:name="_toc_auto_9"/>
    </w:p>
    <w:p w14:paraId="0749BCF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</w:rPr>
        <w:t>检测费用由患者或其法定代理人直接向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  <w:lang w:eastAsia="zh-CN"/>
        </w:rPr>
        <w:t>服务方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</w:rPr>
        <w:t>缴纳；患者或其法定代理人应就每项检测服务与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  <w:lang w:eastAsia="zh-CN"/>
        </w:rPr>
        <w:t>服务方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24"/>
          <w:szCs w:val="24"/>
          <w:highlight w:val="none"/>
        </w:rPr>
        <w:t>签订书面协议，明确约定检测项目、收费标准、双方权利义务及争议处理方式。</w:t>
      </w:r>
    </w:p>
    <w:p w14:paraId="16BF6F4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服务方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须依法依规开展检测活动，确保检测结果的准确性与可靠性，并严格履行患者信息保密义务，切实保护患者隐私。</w:t>
      </w:r>
    </w:p>
    <w:p w14:paraId="068A5244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（三）服务期限</w:t>
      </w:r>
      <w:bookmarkEnd w:id="8"/>
    </w:p>
    <w:p w14:paraId="37CC6E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服务期限为两年，合同一年一签。</w:t>
      </w:r>
    </w:p>
    <w:p w14:paraId="1F998B87">
      <w:pPr>
        <w:pStyle w:val="3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</w:pPr>
      <w:bookmarkStart w:id="9" w:name="_toc_auto_10"/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highlight w:val="none"/>
        </w:rPr>
        <w:t>）是否接受联合体投标</w:t>
      </w:r>
      <w:bookmarkEnd w:id="9"/>
    </w:p>
    <w:p w14:paraId="73DAC6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本次招标不接受联合体投标。</w:t>
      </w:r>
    </w:p>
    <w:bookmarkEnd w:id="6"/>
    <w:p w14:paraId="083EA53C">
      <w:pPr>
        <w:pStyle w:val="2"/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</w:pPr>
      <w:bookmarkStart w:id="10" w:name="_toc_auto_12"/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</w:rPr>
        <w:t>、其他</w:t>
      </w:r>
      <w:bookmarkEnd w:id="10"/>
    </w:p>
    <w:p w14:paraId="75C2F5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本需求书未尽事宜，以双方最终签订的合同为准。</w:t>
      </w:r>
    </w:p>
    <w:p w14:paraId="1376DE7B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0F640DD7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32D4C81F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1A374016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43F6625A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028BB764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0CA7E53E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3560A8AF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3BD8F723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68019B0D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2CBAF4B3">
      <w:pPr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0294DBE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headerReference r:id="rId3" w:type="default"/>
          <w:footerReference r:id="rId4" w:type="default"/>
          <w:pgSz w:w="11905" w:h="16838"/>
          <w:pgMar w:top="1134" w:right="1247" w:bottom="1134" w:left="1417" w:header="850" w:footer="992" w:gutter="0"/>
          <w:pgNumType w:fmt="decimal" w:start="1"/>
          <w:cols w:space="0" w:num="1"/>
          <w:rtlGutter w:val="0"/>
          <w:docGrid w:type="lines" w:linePitch="319" w:charSpace="0"/>
        </w:sectPr>
      </w:pPr>
    </w:p>
    <w:p w14:paraId="6F2D9B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 xml:space="preserve">附件：                                     </w:t>
      </w:r>
    </w:p>
    <w:p w14:paraId="4D71EF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感染相关项目</w:t>
      </w:r>
    </w:p>
    <w:tbl>
      <w:tblPr>
        <w:tblStyle w:val="9"/>
        <w:tblW w:w="140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218"/>
        <w:gridCol w:w="1119"/>
        <w:gridCol w:w="3177"/>
        <w:gridCol w:w="1554"/>
        <w:gridCol w:w="4230"/>
      </w:tblGrid>
      <w:tr w14:paraId="5785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2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3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样本要求       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6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报告时间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6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临床意义</w:t>
            </w:r>
          </w:p>
        </w:tc>
      </w:tr>
      <w:tr w14:paraId="0B8A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4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感染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B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上呼吸道多种病原体靶向测序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3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D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鼻/咽拭子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2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1-2个工作日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肺炎链球菌、金黄色葡萄球菌、化脓链球、中间链球菌、白喉棒杆菌、无乳链球菌、停乳链球菌、单核细胞增生李斯特菌、溃疡棒杆菌、 流感嗜血杆菌等不少于100个检测位点</w:t>
            </w:r>
          </w:p>
        </w:tc>
      </w:tr>
      <w:tr w14:paraId="697D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0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呼吸道多种病原体靶向测序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C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3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深部痰（3mL）、肺泡灌洗液（3-5mL）、胸腹水（10mL）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C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1-2个工作日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肺炎链球菌、猿分枝杆菌、豚鼠耳炎诺卡菌、化脓链球菌、萜烯诺卡菌、无乳链球菌、脓肿分枝杆菌、 蟾分枝杆菌、咽峡炎链球菌群等不少于200个检测位点</w:t>
            </w:r>
          </w:p>
        </w:tc>
      </w:tr>
      <w:tr w14:paraId="514A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C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病原微生物核酸高通量测序,探针捕获高通量测序法（DNA+RNA）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8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3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5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全血、血浆、痰液、肺泡灌洗液、胸腹水、脑脊液、新鲜组织等（除粪便外全样本类型）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8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1-2个工作日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金黄色葡萄球菌、肺炎克雷伯菌、布鲁氏菌、 溶血葡萄球菌、卡他莫拉菌、粪肠球菌、屎肠球菌、豚鼠气单胞菌、蜡样芽孢杆菌、脑膜炎奈瑟菌、淋病奈瑟菌、大肠埃希菌、肺炎支原体、肺炎衣原体、单纯疱疹病毒1型(HSV-1)、水痘-带状疱疹病毒(VZV)、巨细胞病毒(CMV)、单纯疱疹病毒2型(HSV-2) 等不少于10000个检测位点</w:t>
            </w:r>
          </w:p>
        </w:tc>
      </w:tr>
      <w:tr w14:paraId="19F8D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0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结核杆菌(TB-DNA)定性,组织,实时荧光PCR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1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PCR</w:t>
            </w:r>
          </w:p>
        </w:tc>
        <w:tc>
          <w:tcPr>
            <w:tcW w:w="3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新鲜组织、痰液、肺泡灌洗液等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79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1-2个工作日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C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结核</w:t>
            </w:r>
          </w:p>
        </w:tc>
      </w:tr>
    </w:tbl>
    <w:p w14:paraId="48DF08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br w:type="page"/>
      </w:r>
    </w:p>
    <w:p w14:paraId="4B0683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headerReference r:id="rId5" w:type="default"/>
          <w:footerReference r:id="rId6" w:type="default"/>
          <w:pgSz w:w="16838" w:h="11905" w:orient="landscape"/>
          <w:pgMar w:top="1417" w:right="1134" w:bottom="1247" w:left="1134" w:header="850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23285B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血液有物价</w:t>
      </w:r>
    </w:p>
    <w:tbl>
      <w:tblPr>
        <w:tblStyle w:val="9"/>
        <w:tblW w:w="140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932"/>
        <w:gridCol w:w="1268"/>
        <w:gridCol w:w="3041"/>
        <w:gridCol w:w="1800"/>
        <w:gridCol w:w="4118"/>
      </w:tblGrid>
      <w:tr w14:paraId="1DC4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C52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分类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3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64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F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样本要求      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2C7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报告时间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D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临床意义</w:t>
            </w:r>
          </w:p>
        </w:tc>
      </w:tr>
      <w:tr w14:paraId="7887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形态学评估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骨髓涂片检查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D7E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显微镜检查+染色法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A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血片2张,骨髓片6张,EDTA或肝素抗凝骨髓2-3ml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F3E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2-3工作日(疑难病例3-4工作日)</w:t>
            </w:r>
          </w:p>
        </w:tc>
        <w:tc>
          <w:tcPr>
            <w:tcW w:w="4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辅助诊断白血病、巨幼红细胞性贫血、再生障碍性贫血、血小板减少性紫癜及多发性骨髓瘤等 </w:t>
            </w:r>
          </w:p>
        </w:tc>
      </w:tr>
      <w:tr w14:paraId="7289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62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4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骨髓组织活检检查与诊断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4C4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HE染色</w:t>
            </w:r>
          </w:p>
        </w:tc>
        <w:tc>
          <w:tcPr>
            <w:tcW w:w="3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4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10%福尔马林固定的骨髓标本；病理涂胶白片；组织蜡块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B7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5-7工作日</w:t>
            </w:r>
          </w:p>
        </w:tc>
        <w:tc>
          <w:tcPr>
            <w:tcW w:w="4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DD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E42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375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3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骨髓组织活检评估套餐(1项特染+8项免疫组化)</w:t>
            </w: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2781B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74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70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5-7工作日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辅助鉴别诊断AL,NHL,MM及转移癌。</w:t>
            </w:r>
          </w:p>
        </w:tc>
      </w:tr>
      <w:tr w14:paraId="65989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AB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B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特殊染色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D71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特殊染色</w:t>
            </w:r>
          </w:p>
        </w:tc>
        <w:tc>
          <w:tcPr>
            <w:tcW w:w="3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32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2DA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5工作日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3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对临床病变组织、器官的鉴定和分型。</w:t>
            </w:r>
          </w:p>
        </w:tc>
      </w:tr>
      <w:tr w14:paraId="225A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CC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免疫组化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714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免疫组织化学染色</w:t>
            </w:r>
          </w:p>
        </w:tc>
        <w:tc>
          <w:tcPr>
            <w:tcW w:w="3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91F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4D3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5工作日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5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根据病理检查确定需加相应组化项目以辅助病理诊断</w:t>
            </w:r>
          </w:p>
        </w:tc>
      </w:tr>
      <w:tr w14:paraId="0A7E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45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5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淋巴造血组织病理诊断套餐（病理诊断+10项免疫组化）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FB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HE染色</w:t>
            </w:r>
          </w:p>
        </w:tc>
        <w:tc>
          <w:tcPr>
            <w:tcW w:w="3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A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10%福尔马林固定的骨髓标本；病理涂胶白片；组织蜡块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A6D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5-7工作日</w:t>
            </w:r>
          </w:p>
        </w:tc>
        <w:tc>
          <w:tcPr>
            <w:tcW w:w="4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9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淋巴造血系统疾病病理诊断（主要针对淋巴结活检）</w:t>
            </w:r>
          </w:p>
        </w:tc>
      </w:tr>
      <w:tr w14:paraId="3617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F6C4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0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淋巴造血组织病理诊断套餐(病理诊断+15项免疫组化+EBER原位杂交)</w:t>
            </w: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25FB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5D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65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10天</w:t>
            </w:r>
          </w:p>
        </w:tc>
        <w:tc>
          <w:tcPr>
            <w:tcW w:w="4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A8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59D0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158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免疫分型/MRD检测</w:t>
            </w:r>
          </w:p>
        </w:tc>
        <w:tc>
          <w:tcPr>
            <w:tcW w:w="29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AC2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急慢性白血病/NHL/MDS全面CD系列检测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C85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流式细胞术</w:t>
            </w:r>
          </w:p>
        </w:tc>
        <w:tc>
          <w:tcPr>
            <w:tcW w:w="3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肝素钠/EDTA抗凝骨髓穿刺液2-3 ml或外周全血3-5 ml (保证外周全血内病变细胞大于20%)</w:t>
            </w:r>
          </w:p>
        </w:tc>
        <w:tc>
          <w:tcPr>
            <w:tcW w:w="18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BED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2-3工作日（少数疑难病例3-4工作日）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7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免疫分型用于急慢性白血病,NHL和MDS的诊断与鉴别诊断。</w:t>
            </w:r>
          </w:p>
        </w:tc>
      </w:tr>
      <w:tr w14:paraId="6DFC7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4024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A59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白血病细胞CD系列检测(不少于28 CD)</w:t>
            </w: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0BC6F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E4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8E74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E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免疫分型用于急慢性白血病诊断与鉴别诊断。</w:t>
            </w:r>
          </w:p>
        </w:tc>
      </w:tr>
      <w:tr w14:paraId="3F63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40E4F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30B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微小残留白血病检测(不少于28CD/不少于15CD）</w:t>
            </w: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6C5A6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8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肝素钠/EDTA抗凝骨髓穿刺液2-3ml</w:t>
            </w:r>
          </w:p>
        </w:tc>
        <w:tc>
          <w:tcPr>
            <w:tcW w:w="18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EE5A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7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微小残留白血病的评估。既往无完整免疫表型选择28CD，有完整免疫表型选择15CD。</w:t>
            </w:r>
          </w:p>
        </w:tc>
      </w:tr>
      <w:tr w14:paraId="6DBA2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D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遗传学评估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骨髓染色体核型分析(肿瘤)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细胞培养法G显带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肝素抗凝骨髓3-5ml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B5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15天</w:t>
            </w:r>
          </w:p>
        </w:tc>
        <w:tc>
          <w:tcPr>
            <w:tcW w:w="4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6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常用于血液病患者的辅助诊断，检测染色体异常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4C40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8E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C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外周血染色体核型分析(血液肿瘤)</w:t>
            </w: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E3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肝素抗凝全血 3-5ml/2管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932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15天</w:t>
            </w:r>
          </w:p>
        </w:tc>
        <w:tc>
          <w:tcPr>
            <w:tcW w:w="4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15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C0808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pgSz w:w="16838" w:h="11905" w:orient="landscape"/>
          <w:pgMar w:top="1417" w:right="1134" w:bottom="1247" w:left="1134" w:header="850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37653F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血液无合适物价</w:t>
      </w:r>
    </w:p>
    <w:tbl>
      <w:tblPr>
        <w:tblStyle w:val="9"/>
        <w:tblW w:w="13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3101"/>
        <w:gridCol w:w="1678"/>
        <w:gridCol w:w="899"/>
        <w:gridCol w:w="2477"/>
        <w:gridCol w:w="785"/>
        <w:gridCol w:w="4156"/>
      </w:tblGrid>
      <w:tr w14:paraId="3EB8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880" w:type="dxa"/>
            <w:shd w:val="clear" w:color="auto" w:fill="auto"/>
            <w:vAlign w:val="center"/>
          </w:tcPr>
          <w:p w14:paraId="6A7CA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分类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34A2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33A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F935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TAT（天）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3858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样本送检要求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34B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送样注意事项</w:t>
            </w:r>
          </w:p>
        </w:tc>
        <w:tc>
          <w:tcPr>
            <w:tcW w:w="4156" w:type="dxa"/>
            <w:shd w:val="clear" w:color="auto" w:fill="auto"/>
            <w:vAlign w:val="center"/>
          </w:tcPr>
          <w:p w14:paraId="16F5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基因明细</w:t>
            </w:r>
          </w:p>
        </w:tc>
      </w:tr>
      <w:tr w14:paraId="4908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17919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泛血液肿瘤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3CB6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白血病中融合基因筛查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39B9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0D3F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5B697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4C8F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722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不少于56种</w:t>
            </w:r>
          </w:p>
        </w:tc>
      </w:tr>
      <w:tr w14:paraId="1F60E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4E49B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60B8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血液肿瘤NRAS基因突变检测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692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6C5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281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1、EDTA、枸橼酸盐抗凝外周血/骨髓/口腔拭子；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AF6C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5C43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DF4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13EB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6203D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血液肿瘤KRAS基因突变检测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D12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087B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914C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6C9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456B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620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45406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3251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血液肿瘤TP53基因突变检测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7CC9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D4C4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9CB7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838E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327C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367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C935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67755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血液肿瘤EZH2基因突变检测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E13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741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1E16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6091E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CC9A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07BF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0A79E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泛髓系肿瘤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DB50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血液肿瘤TET2基因突变检测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447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9BB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869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9336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D5FC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44E6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5FA47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7115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血液肿瘤ASXL1基因突变检测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98A2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0D3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6D744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11EB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D628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B82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269AA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76CB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血液肿瘤RUNX1基因突变检测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ADD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F14E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3535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45F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52574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7F9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729CC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DB5E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血液肿瘤WT1基因突变检测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2C2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ED56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AB98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703C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F6CB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817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130DE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6A198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血液肿瘤SRSF2基因突变检测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0305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E822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551D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2EBD9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1FCC6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C74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27F90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14A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血液肿瘤DNMT3A基因突变检测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9DB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004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3B1A8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EAFE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224D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F9C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3935C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泛淋系肿瘤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EA0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IgH基因克隆性重排检测</w:t>
            </w:r>
          </w:p>
          <w:p w14:paraId="5C2E8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(片段分析)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C9A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D811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9761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F3B3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F5FC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0F2C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19C46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DDA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IGH基因D区重排检测</w:t>
            </w:r>
          </w:p>
          <w:p w14:paraId="3EB8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(片段分析)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ECCE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22F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36E0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766C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8978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B19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3A89B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A4DC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IGH基因V区重排检测</w:t>
            </w:r>
          </w:p>
          <w:p w14:paraId="2C1EE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(片段分析)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78B8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3CFF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5CB8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382D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34BB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3E2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25BA6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BD30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TCRr基因重排检测(片段分析)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84E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7690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535F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354F5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5A353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ACD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716C2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CB65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T细胞克隆性评估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CFF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9F71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5B1B0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DBB5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59B73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0EA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0442A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急性</w:t>
            </w:r>
          </w:p>
          <w:p w14:paraId="492EE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髓系</w:t>
            </w:r>
          </w:p>
          <w:p w14:paraId="341B2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白血病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4483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AML相关基因测序检测</w:t>
            </w:r>
          </w:p>
          <w:p w14:paraId="2487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（中级套餐）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793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9DD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076E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1、EDTA、枸橼酸盐抗凝外周血/骨髓/口腔拭子；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70CA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3C78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不少于72个基因</w:t>
            </w:r>
          </w:p>
        </w:tc>
      </w:tr>
      <w:tr w14:paraId="13D6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A0C6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3A74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血液肿瘤NPM1基因突变检测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F879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955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14:paraId="6635D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1、EDTA、枸橼酸盐抗凝外周血/骨髓/口腔拭子；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3117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5F386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099A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12C3F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07E52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血液肿瘤IDH1/2基因突变检测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1DA9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C19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vMerge w:val="continue"/>
            <w:shd w:val="clear" w:color="auto" w:fill="auto"/>
            <w:vAlign w:val="center"/>
          </w:tcPr>
          <w:p w14:paraId="60C9A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2438B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9D12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D94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4D22E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18B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FLT3基因TKD(D835)突变检测(RFLP)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292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NGS(NGS)+多重PCR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562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vMerge w:val="continue"/>
            <w:shd w:val="clear" w:color="auto" w:fill="auto"/>
            <w:vAlign w:val="center"/>
          </w:tcPr>
          <w:p w14:paraId="1DE4B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55A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A162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EE4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000A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32AF0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血液肿瘤CEBPA基因突变检测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AE24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F9E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vMerge w:val="continue"/>
            <w:shd w:val="clear" w:color="auto" w:fill="auto"/>
            <w:vAlign w:val="center"/>
          </w:tcPr>
          <w:p w14:paraId="1056F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5810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151D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63C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32D4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3134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血液肿瘤KIT基因突变检测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73F8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9162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vMerge w:val="continue"/>
            <w:shd w:val="clear" w:color="auto" w:fill="auto"/>
            <w:vAlign w:val="center"/>
          </w:tcPr>
          <w:p w14:paraId="21C27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61816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68378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4299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5017D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97FE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AML1-ETO(RUNX1-RUNX1T1)定量检测(RQ-PCR)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58EB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3493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C619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4021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6AEB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E17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0E84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F90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PML/RARA分型定量（初诊）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34C4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1F44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0670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AE76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746D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D1D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314FA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5017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PML-RARα融合基因定量检测(RQ-PCR)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D9A2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0CAF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31E87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7ED5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37D9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A1C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4DD34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15C8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PML-RARα融合基因检测(定性)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9886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实时荧光定量Fish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2AE8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AEF3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7CC4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FE9E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A14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3491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29FE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FLT3基因ITD突变检测(片段分析)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C0D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片段分析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0CD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6B89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7546C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3273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F55B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shd w:val="clear" w:color="auto" w:fill="auto"/>
            <w:vAlign w:val="center"/>
          </w:tcPr>
          <w:p w14:paraId="364F4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骨髓增生异常综合征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318E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MDS相关基因测序检测（中级套餐）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D88F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739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5D5A6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F0AE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172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不少于68种基因突变</w:t>
            </w:r>
          </w:p>
        </w:tc>
      </w:tr>
      <w:tr w14:paraId="1EAC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shd w:val="clear" w:color="auto" w:fill="auto"/>
            <w:vAlign w:val="center"/>
          </w:tcPr>
          <w:p w14:paraId="30005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再生障碍性贫血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CA71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AA相关基因突变检测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896D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E0A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07F1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7783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01AF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不少于5个基因</w:t>
            </w:r>
          </w:p>
        </w:tc>
      </w:tr>
      <w:tr w14:paraId="3BA9F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72F30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骨髓增殖性肿瘤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CD18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血液肿瘤CALR基因突变检测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F30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NGS(NGS)+多重PCR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CEB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6EB8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A853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B3CF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02EF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38B6D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1B4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血液肿瘤MPL基因突变检测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23AA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NGS(NGS)+多重PCR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6FE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5D191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6A12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417B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737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B230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52DD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JAK2基因突变检测(外显子12&amp;13)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6915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NGS(NGS)+多重PCR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3061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C3F2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E67B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FE15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6B2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3E37A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7599D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JAK2基因V617F突变定量检测(Q-PCR)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273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773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E79C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C6AA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F892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72F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64BA1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慢性粒细胞白血病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35D6F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BCR-ABL1激酶区(KD)突变检测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A1E6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NGS(NGS)+多重PCR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06EB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8-12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28FD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A2B7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705D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78C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52234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615A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BCR/ABL1分型定量（初诊）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971B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418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DB0C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2838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13BB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AB3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35DF4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5FD0F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BCR-ABL1融合基因分型(定性)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EF0B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FISH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9B5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2403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B37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59F6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70F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F1C7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3065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BCR-ABL1(p190)融合基因定量检测(RQ-PCR)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172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107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08E83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7A402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1DA5A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2AB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412B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B065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BCR-ABL1(p210)融合基因定量检测(RQ-PCR)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AF1F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8CE2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DB32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6DB1C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16CB7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C78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2C4B2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0B38B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BCR-ABL1(p230)融合基因定量检测(RQ-PCR)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722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54F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C7DF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8E81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DB6B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A9C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6CD6E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骨髓增生异常综合征/骨髓增殖性肿瘤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AD4C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MDS/MPN相关基因测序检测（中级套餐）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2F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8FD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68BE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3271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6555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不少于59个基因</w:t>
            </w:r>
          </w:p>
        </w:tc>
      </w:tr>
      <w:tr w14:paraId="6CAC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F57D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67E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CMML相关基因测序检测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7C3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460A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48F2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B778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11DA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不少于47个基因</w:t>
            </w:r>
          </w:p>
        </w:tc>
      </w:tr>
      <w:tr w14:paraId="153D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119B8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急性淋巴细胞白血病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BAC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T-ALL/LBL相关基因测序检测（中级套餐）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859C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8DD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6EB79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398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18B12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不少于59个基因</w:t>
            </w:r>
          </w:p>
        </w:tc>
      </w:tr>
      <w:tr w14:paraId="4AC9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4D709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299E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B-ALL/LBL相关基因测序检测（中级套餐）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23FA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CC41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7B6E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1、EDTA、枸橼酸盐抗凝外周血/骨髓+口腔拭子；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7B83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3D5C5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不少于48个基因</w:t>
            </w:r>
          </w:p>
        </w:tc>
      </w:tr>
      <w:tr w14:paraId="5D25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67080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0CEFB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Ph样ALL相关基因筛查（表达+融合基因）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E479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7899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31621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781EF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2C19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不少于27个融合基因</w:t>
            </w:r>
          </w:p>
        </w:tc>
      </w:tr>
      <w:tr w14:paraId="0594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36A19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淋巴瘤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42389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LPL/WM相关基因测序检测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6400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0B7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23025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4B30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808D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检测LPL/WM相关不少于33基因的外显子编码区，包括SNV和Indel突变类型</w:t>
            </w:r>
          </w:p>
        </w:tc>
      </w:tr>
      <w:tr w14:paraId="0F9F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28896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4BD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MYD88基因L265P突变检测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E68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数字PCR法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72A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E37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88BB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B952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313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72760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慢性淋巴细胞白血病/小细胞淋</w:t>
            </w:r>
          </w:p>
          <w:p w14:paraId="26FB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巴瘤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19EC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血液肿瘤SF3B1基因突变检测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9440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A235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0208B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1、EDTA、枸橼酸盐抗凝外周血/骨髓/口腔拭子；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2、石蜡包埋组织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825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081EA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E3D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50803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0BC6D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IGHV基因突变检测(NGS,血液肿瘤)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20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CAD3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E7D0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6A0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15112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D7A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0229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7D894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血液肿瘤TP53基因突变检测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0CB9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NGS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4A0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6C52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0B55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2BC92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AD6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shd w:val="clear" w:color="auto" w:fill="auto"/>
            <w:vAlign w:val="center"/>
          </w:tcPr>
          <w:p w14:paraId="57722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多发性骨髓瘤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50DA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多发性骨髓瘤相关FISH检测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8D2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FISH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5658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7-15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12DA3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C00E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48B3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不少于四项</w:t>
            </w:r>
          </w:p>
        </w:tc>
      </w:tr>
      <w:tr w14:paraId="4092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17015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伴嗜酸性粒细胞增多的淋系/髓系肿瘤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98C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ETV6-PDGFRB融合基因定量检(RQ-PCR)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2735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7258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54423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EDTA、枸橼酸盐抗凝外周血/骨髓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E33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6DCBD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4502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0" w:type="dxa"/>
            <w:vMerge w:val="continue"/>
            <w:shd w:val="clear" w:color="auto" w:fill="auto"/>
            <w:vAlign w:val="center"/>
          </w:tcPr>
          <w:p w14:paraId="0DC6A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439E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FIP1L1-PDGFRa融合基因定量检测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D36B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实时荧光定量PCR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8619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5-7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76B8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6C45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156" w:type="dxa"/>
            <w:shd w:val="clear" w:color="auto" w:fill="auto"/>
            <w:vAlign w:val="top"/>
          </w:tcPr>
          <w:p w14:paraId="71745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 w14:paraId="5860B8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pgSz w:w="16838" w:h="11905" w:orient="landscape"/>
          <w:pgMar w:top="1417" w:right="1134" w:bottom="1247" w:left="1134" w:header="850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06189B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噬血</w:t>
      </w:r>
    </w:p>
    <w:tbl>
      <w:tblPr>
        <w:tblStyle w:val="9"/>
        <w:tblW w:w="123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315"/>
        <w:gridCol w:w="2878"/>
        <w:gridCol w:w="1378"/>
        <w:gridCol w:w="4166"/>
      </w:tblGrid>
      <w:tr w14:paraId="45DB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A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4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样本采集（ 外周血）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采血量*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C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临床意义</w:t>
            </w:r>
          </w:p>
        </w:tc>
      </w:tr>
      <w:tr w14:paraId="2EB0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9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2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NK 细胞活性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6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紫帽（EDTA）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3-5ml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1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HLH-2004 诊断标准之一。</w:t>
            </w:r>
          </w:p>
        </w:tc>
      </w:tr>
      <w:tr w14:paraId="3CA2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0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2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可溶性 CD25(sCD25)水平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E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红/黄帽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A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2ml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D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HLH-2004 诊断标准之一。</w:t>
            </w:r>
          </w:p>
        </w:tc>
      </w:tr>
      <w:tr w14:paraId="028B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C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EBV-DNA 定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6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紫帽（EDTA）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6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3ml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9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分别定量血清或外周血单个核细胞中 EBV拷贝数</w:t>
            </w:r>
          </w:p>
        </w:tc>
      </w:tr>
    </w:tbl>
    <w:p w14:paraId="052A68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color w:val="auto"/>
          <w:highlight w:val="none"/>
        </w:rPr>
      </w:pPr>
      <w:r>
        <w:rPr>
          <w:rFonts w:hint="eastAsia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 </w:t>
      </w:r>
    </w:p>
    <w:p w14:paraId="0446C1CE">
      <w:pPr>
        <w:bidi w:val="0"/>
        <w:jc w:val="left"/>
        <w:rPr>
          <w:rFonts w:hint="default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26715033">
      <w:pPr>
        <w:bidi w:val="0"/>
        <w:jc w:val="center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</w:p>
    <w:p w14:paraId="7E0AB6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color w:val="auto"/>
          <w:highlight w:val="none"/>
        </w:rPr>
      </w:pPr>
    </w:p>
    <w:sectPr>
      <w:headerReference r:id="rId7" w:type="default"/>
      <w:footerReference r:id="rId8" w:type="default"/>
      <w:pgSz w:w="16838" w:h="11905" w:orient="landscape"/>
      <w:pgMar w:top="1417" w:right="1134" w:bottom="1247" w:left="1134" w:header="850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3CAE9">
    <w:pPr>
      <w:spacing w:after="0" w:line="360" w:lineRule="auto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00CE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C00CE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406E8">
    <w:pPr>
      <w:spacing w:line="226" w:lineRule="exact"/>
      <w:ind w:left="464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5671E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35671E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AD44CF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AD44CF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41B4F">
    <w:pPr>
      <w:spacing w:after="0" w:line="36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BFD2F">
    <w:pPr>
      <w:spacing w:after="0" w:line="360" w:lineRule="aut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5A5D6">
    <w:pPr>
      <w:spacing w:after="0" w:line="36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A23028F"/>
    <w:rsid w:val="0D014112"/>
    <w:rsid w:val="154C4F1A"/>
    <w:rsid w:val="165B0C93"/>
    <w:rsid w:val="17FC1CFA"/>
    <w:rsid w:val="1B2D4292"/>
    <w:rsid w:val="20651585"/>
    <w:rsid w:val="210E2311"/>
    <w:rsid w:val="211F34E2"/>
    <w:rsid w:val="26C1503C"/>
    <w:rsid w:val="28ED3D5F"/>
    <w:rsid w:val="295E61D7"/>
    <w:rsid w:val="2A804D0C"/>
    <w:rsid w:val="2DA10D95"/>
    <w:rsid w:val="2DB72CF5"/>
    <w:rsid w:val="2F132D02"/>
    <w:rsid w:val="468E1296"/>
    <w:rsid w:val="472D2CE1"/>
    <w:rsid w:val="48606233"/>
    <w:rsid w:val="4ED4505D"/>
    <w:rsid w:val="570A7ED6"/>
    <w:rsid w:val="5A940BB2"/>
    <w:rsid w:val="5BB46942"/>
    <w:rsid w:val="5D7874FB"/>
    <w:rsid w:val="6051650D"/>
    <w:rsid w:val="64B61035"/>
    <w:rsid w:val="68A33FC6"/>
    <w:rsid w:val="6ADA6B65"/>
    <w:rsid w:val="6F5C6C7D"/>
    <w:rsid w:val="70F71533"/>
    <w:rsid w:val="73221C61"/>
    <w:rsid w:val="77251541"/>
    <w:rsid w:val="7B72146D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1"/>
    </w:pPr>
    <w:rPr>
      <w:rFonts w:ascii="宋体" w:hAnsi="宋体" w:eastAsia="宋体"/>
      <w:b/>
      <w:bCs/>
      <w:sz w:val="24"/>
      <w:szCs w:val="24"/>
    </w:rPr>
  </w:style>
  <w:style w:type="paragraph" w:styleId="3">
    <w:name w:val="heading 3"/>
    <w:next w:val="1"/>
    <w:qFormat/>
    <w:uiPriority w:val="0"/>
    <w:pPr>
      <w:keepNext/>
      <w:keepLines/>
      <w:widowControl/>
      <w:spacing w:before="120" w:after="80"/>
      <w:outlineLvl w:val="2"/>
    </w:pPr>
    <w:rPr>
      <w:rFonts w:ascii="Times New Roman" w:hAnsi="Times New Roman" w:eastAsia="黑体" w:cs="Times New Roman"/>
      <w:b/>
      <w:bCs/>
      <w:color w:val="000000"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3">
    <w:name w:val="NormalCharacter"/>
    <w:qFormat/>
    <w:uiPriority w:val="0"/>
  </w:style>
  <w:style w:type="character" w:customStyle="1" w:styleId="14">
    <w:name w:val="font2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5033</Words>
  <Characters>8316</Characters>
  <Lines>0</Lines>
  <Paragraphs>0</Paragraphs>
  <TotalTime>2</TotalTime>
  <ScaleCrop>false</ScaleCrop>
  <LinksUpToDate>false</LinksUpToDate>
  <CharactersWithSpaces>8420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NTKO</cp:lastModifiedBy>
  <dcterms:modified xsi:type="dcterms:W3CDTF">2026-08-25T01:54:20Z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eyJoZGlkIjoiYmQ3NjQxYmZmN2ZkODIxYWNiNTEzMzQyMTZmNzQ1MmMiLCJ1c2VySWQiOiIyMzQ4Mzk4MTAifQ==</vt:lpwstr>
  </property>
  <property fmtid="{D5CDD505-2E9C-101B-9397-08002B2CF9AE}" pid="4" name="ICV">
    <vt:lpwstr>92E3325933BF4D1AAEAEDD11820C8EA3_12</vt:lpwstr>
  </property>
</Properties>
</file>