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92862">
      <w:pPr>
        <w:bidi w:val="0"/>
        <w:spacing w:line="440" w:lineRule="exact"/>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附件2：阜外华中心血管病医院灭火器维修换药项目采购需求</w:t>
      </w:r>
      <w:bookmarkStart w:id="0" w:name="_Toc202941484"/>
      <w:bookmarkStart w:id="1" w:name="_Toc477077032"/>
    </w:p>
    <w:p w14:paraId="2A509558">
      <w:pPr>
        <w:bidi w:val="0"/>
        <w:spacing w:line="440" w:lineRule="exact"/>
        <w:rPr>
          <w:rFonts w:hint="eastAsia" w:ascii="Times New Roman" w:hAnsi="Times New Roman" w:eastAsia="仿宋" w:cs="Times New Roman"/>
          <w:b/>
          <w:bCs/>
          <w:sz w:val="28"/>
          <w:szCs w:val="28"/>
        </w:rPr>
      </w:pPr>
      <w:bookmarkStart w:id="2" w:name="_GoBack"/>
      <w:bookmarkEnd w:id="2"/>
      <w:r>
        <w:rPr>
          <w:rFonts w:hint="eastAsia" w:ascii="Times New Roman" w:hAnsi="Times New Roman" w:eastAsia="仿宋" w:cs="Times New Roman"/>
          <w:b/>
          <w:bCs/>
          <w:sz w:val="28"/>
          <w:szCs w:val="28"/>
        </w:rPr>
        <w:t>一、</w:t>
      </w:r>
      <w:r>
        <w:rPr>
          <w:rFonts w:hint="eastAsia" w:ascii="Times New Roman" w:hAnsi="Times New Roman" w:eastAsia="仿宋" w:cs="Times New Roman"/>
          <w:b/>
          <w:bCs/>
          <w:sz w:val="28"/>
          <w:szCs w:val="28"/>
          <w:lang w:eastAsia="zh-CN"/>
        </w:rPr>
        <w:t>院区灭火器</w:t>
      </w:r>
      <w:r>
        <w:rPr>
          <w:rFonts w:hint="eastAsia" w:ascii="Times New Roman" w:hAnsi="Times New Roman" w:eastAsia="仿宋" w:cs="Times New Roman"/>
          <w:b/>
          <w:bCs/>
          <w:sz w:val="28"/>
          <w:szCs w:val="28"/>
        </w:rPr>
        <w:t>数量</w:t>
      </w:r>
    </w:p>
    <w:tbl>
      <w:tblPr>
        <w:tblStyle w:val="14"/>
        <w:tblW w:w="948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02"/>
        <w:gridCol w:w="3011"/>
        <w:gridCol w:w="2655"/>
        <w:gridCol w:w="3120"/>
      </w:tblGrid>
      <w:tr w14:paraId="45CAC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jc w:val="center"/>
        </w:trPr>
        <w:tc>
          <w:tcPr>
            <w:tcW w:w="702" w:type="dxa"/>
            <w:tcBorders>
              <w:bottom w:val="single" w:color="auto" w:sz="4" w:space="0"/>
            </w:tcBorders>
            <w:vAlign w:val="center"/>
          </w:tcPr>
          <w:p w14:paraId="5AB5E11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序号</w:t>
            </w:r>
          </w:p>
        </w:tc>
        <w:tc>
          <w:tcPr>
            <w:tcW w:w="3011" w:type="dxa"/>
            <w:tcBorders>
              <w:bottom w:val="single" w:color="auto" w:sz="4" w:space="0"/>
            </w:tcBorders>
            <w:vAlign w:val="center"/>
          </w:tcPr>
          <w:p w14:paraId="3A430B44">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设备名称</w:t>
            </w:r>
          </w:p>
        </w:tc>
        <w:tc>
          <w:tcPr>
            <w:tcW w:w="2655" w:type="dxa"/>
            <w:tcBorders>
              <w:bottom w:val="single" w:color="auto" w:sz="4" w:space="0"/>
            </w:tcBorders>
            <w:vAlign w:val="center"/>
          </w:tcPr>
          <w:p w14:paraId="5FEE81B1">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规格型号</w:t>
            </w:r>
          </w:p>
        </w:tc>
        <w:tc>
          <w:tcPr>
            <w:tcW w:w="3120" w:type="dxa"/>
            <w:shd w:val="clear" w:color="auto" w:fill="auto"/>
            <w:vAlign w:val="center"/>
          </w:tcPr>
          <w:p w14:paraId="3002950C">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数量（具）</w:t>
            </w:r>
          </w:p>
        </w:tc>
      </w:tr>
      <w:tr w14:paraId="63FF0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jc w:val="center"/>
        </w:trPr>
        <w:tc>
          <w:tcPr>
            <w:tcW w:w="702" w:type="dxa"/>
            <w:vMerge w:val="restart"/>
            <w:tcBorders>
              <w:top w:val="single" w:color="auto" w:sz="4" w:space="0"/>
            </w:tcBorders>
            <w:vAlign w:val="center"/>
          </w:tcPr>
          <w:p w14:paraId="5E61550B">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1</w:t>
            </w:r>
          </w:p>
        </w:tc>
        <w:tc>
          <w:tcPr>
            <w:tcW w:w="3011" w:type="dxa"/>
            <w:vMerge w:val="restart"/>
            <w:tcBorders>
              <w:top w:val="single" w:color="auto" w:sz="4" w:space="0"/>
            </w:tcBorders>
            <w:vAlign w:val="center"/>
          </w:tcPr>
          <w:p w14:paraId="1CAD60D9">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干粉灭火器</w:t>
            </w:r>
          </w:p>
        </w:tc>
        <w:tc>
          <w:tcPr>
            <w:tcW w:w="2655" w:type="dxa"/>
            <w:tcBorders>
              <w:top w:val="single" w:color="auto" w:sz="4" w:space="0"/>
            </w:tcBorders>
            <w:shd w:val="clear" w:color="auto" w:fill="auto"/>
            <w:vAlign w:val="center"/>
          </w:tcPr>
          <w:p w14:paraId="7957F08B">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lang w:val="en-US" w:eastAsia="zh-CN"/>
              </w:rPr>
              <w:t>1公斤（kg)</w:t>
            </w:r>
          </w:p>
        </w:tc>
        <w:tc>
          <w:tcPr>
            <w:tcW w:w="3120" w:type="dxa"/>
            <w:shd w:val="clear" w:color="auto" w:fill="auto"/>
            <w:vAlign w:val="center"/>
          </w:tcPr>
          <w:p w14:paraId="7288BB75">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kern w:val="2"/>
                <w:sz w:val="24"/>
                <w:szCs w:val="24"/>
                <w:lang w:val="en-US" w:eastAsia="zh-CN" w:bidi="ar-SA"/>
              </w:rPr>
            </w:pPr>
            <w:r>
              <w:rPr>
                <w:rFonts w:hint="eastAsia" w:ascii="仿宋" w:hAnsi="仿宋" w:eastAsia="仿宋" w:cs="仿宋"/>
                <w:lang w:val="en-US" w:eastAsia="zh-CN"/>
              </w:rPr>
              <w:t>10</w:t>
            </w:r>
          </w:p>
        </w:tc>
      </w:tr>
      <w:tr w14:paraId="22AAB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jc w:val="center"/>
        </w:trPr>
        <w:tc>
          <w:tcPr>
            <w:tcW w:w="702" w:type="dxa"/>
            <w:vMerge w:val="continue"/>
            <w:vAlign w:val="center"/>
          </w:tcPr>
          <w:p w14:paraId="484354C3">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6FC1DB5E">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vAlign w:val="center"/>
          </w:tcPr>
          <w:p w14:paraId="5AC6C702">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2公斤（kg)</w:t>
            </w:r>
          </w:p>
        </w:tc>
        <w:tc>
          <w:tcPr>
            <w:tcW w:w="3120" w:type="dxa"/>
            <w:shd w:val="clear" w:color="auto" w:fill="auto"/>
            <w:vAlign w:val="center"/>
          </w:tcPr>
          <w:p w14:paraId="409B99FC">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14</w:t>
            </w:r>
          </w:p>
        </w:tc>
      </w:tr>
      <w:tr w14:paraId="64597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jc w:val="center"/>
        </w:trPr>
        <w:tc>
          <w:tcPr>
            <w:tcW w:w="702" w:type="dxa"/>
            <w:vMerge w:val="continue"/>
            <w:vAlign w:val="center"/>
          </w:tcPr>
          <w:p w14:paraId="25A18AD5">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6FDE3EC0">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vAlign w:val="center"/>
          </w:tcPr>
          <w:p w14:paraId="09955E3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3公斤（kg)</w:t>
            </w:r>
          </w:p>
        </w:tc>
        <w:tc>
          <w:tcPr>
            <w:tcW w:w="3120" w:type="dxa"/>
            <w:shd w:val="clear" w:color="auto" w:fill="auto"/>
            <w:vAlign w:val="center"/>
          </w:tcPr>
          <w:p w14:paraId="039A2924">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13</w:t>
            </w:r>
          </w:p>
        </w:tc>
      </w:tr>
      <w:tr w14:paraId="0059B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02" w:type="dxa"/>
            <w:vMerge w:val="continue"/>
            <w:vAlign w:val="center"/>
          </w:tcPr>
          <w:p w14:paraId="382DAF78">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2EA5330C">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vAlign w:val="center"/>
          </w:tcPr>
          <w:p w14:paraId="56594C9F">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4公斤（kg)</w:t>
            </w:r>
          </w:p>
        </w:tc>
        <w:tc>
          <w:tcPr>
            <w:tcW w:w="3120" w:type="dxa"/>
            <w:shd w:val="clear" w:color="auto" w:fill="auto"/>
            <w:vAlign w:val="center"/>
          </w:tcPr>
          <w:p w14:paraId="5128208A">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314</w:t>
            </w:r>
          </w:p>
        </w:tc>
      </w:tr>
      <w:tr w14:paraId="165C4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02" w:type="dxa"/>
            <w:vMerge w:val="continue"/>
            <w:vAlign w:val="center"/>
          </w:tcPr>
          <w:p w14:paraId="3744CBB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0B195829">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vAlign w:val="center"/>
          </w:tcPr>
          <w:p w14:paraId="4E374986">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5公斤（kg)</w:t>
            </w:r>
          </w:p>
        </w:tc>
        <w:tc>
          <w:tcPr>
            <w:tcW w:w="3120" w:type="dxa"/>
            <w:shd w:val="clear" w:color="auto" w:fill="auto"/>
            <w:vAlign w:val="center"/>
          </w:tcPr>
          <w:p w14:paraId="6ACD0A2E">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2351</w:t>
            </w:r>
          </w:p>
        </w:tc>
      </w:tr>
      <w:tr w14:paraId="31373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02" w:type="dxa"/>
            <w:vMerge w:val="continue"/>
            <w:vAlign w:val="center"/>
          </w:tcPr>
          <w:p w14:paraId="7604FAEA">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34FDEF4F">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vAlign w:val="center"/>
          </w:tcPr>
          <w:p w14:paraId="0118987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8公斤（kg)</w:t>
            </w:r>
          </w:p>
        </w:tc>
        <w:tc>
          <w:tcPr>
            <w:tcW w:w="3120" w:type="dxa"/>
            <w:shd w:val="clear" w:color="auto" w:fill="auto"/>
            <w:vAlign w:val="center"/>
          </w:tcPr>
          <w:p w14:paraId="157AD73B">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w:t>
            </w:r>
          </w:p>
        </w:tc>
      </w:tr>
      <w:tr w14:paraId="0CCFD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02" w:type="dxa"/>
            <w:vAlign w:val="center"/>
          </w:tcPr>
          <w:p w14:paraId="1730479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2</w:t>
            </w:r>
          </w:p>
        </w:tc>
        <w:tc>
          <w:tcPr>
            <w:tcW w:w="3011" w:type="dxa"/>
            <w:vAlign w:val="center"/>
          </w:tcPr>
          <w:p w14:paraId="6EB69117">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手推车灭火器</w:t>
            </w:r>
          </w:p>
        </w:tc>
        <w:tc>
          <w:tcPr>
            <w:tcW w:w="2655" w:type="dxa"/>
            <w:vAlign w:val="center"/>
          </w:tcPr>
          <w:p w14:paraId="60BF57A4">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20公斤（kg)</w:t>
            </w:r>
          </w:p>
        </w:tc>
        <w:tc>
          <w:tcPr>
            <w:tcW w:w="3120" w:type="dxa"/>
            <w:shd w:val="clear" w:color="auto" w:fill="auto"/>
            <w:vAlign w:val="center"/>
          </w:tcPr>
          <w:p w14:paraId="2829EBA7">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677</w:t>
            </w:r>
          </w:p>
        </w:tc>
      </w:tr>
      <w:tr w14:paraId="36E6F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02" w:type="dxa"/>
            <w:vAlign w:val="center"/>
          </w:tcPr>
          <w:p w14:paraId="44873EA8">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3</w:t>
            </w:r>
          </w:p>
        </w:tc>
        <w:tc>
          <w:tcPr>
            <w:tcW w:w="3011" w:type="dxa"/>
            <w:vAlign w:val="center"/>
          </w:tcPr>
          <w:p w14:paraId="5DE65D6F">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水基型灭火器</w:t>
            </w:r>
          </w:p>
        </w:tc>
        <w:tc>
          <w:tcPr>
            <w:tcW w:w="2655" w:type="dxa"/>
            <w:vAlign w:val="center"/>
          </w:tcPr>
          <w:p w14:paraId="6DFA4A75">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3公斤（kg)</w:t>
            </w:r>
          </w:p>
        </w:tc>
        <w:tc>
          <w:tcPr>
            <w:tcW w:w="3120" w:type="dxa"/>
            <w:shd w:val="clear" w:color="auto" w:fill="auto"/>
            <w:vAlign w:val="center"/>
          </w:tcPr>
          <w:p w14:paraId="5B8AB0FE">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34</w:t>
            </w:r>
          </w:p>
        </w:tc>
      </w:tr>
      <w:tr w14:paraId="260C5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02" w:type="dxa"/>
            <w:vMerge w:val="restart"/>
            <w:vAlign w:val="center"/>
          </w:tcPr>
          <w:p w14:paraId="5355C44C">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4</w:t>
            </w:r>
          </w:p>
        </w:tc>
        <w:tc>
          <w:tcPr>
            <w:tcW w:w="3011" w:type="dxa"/>
            <w:vMerge w:val="restart"/>
            <w:vAlign w:val="center"/>
          </w:tcPr>
          <w:p w14:paraId="3770122E">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二氧化碳灭火器</w:t>
            </w:r>
          </w:p>
        </w:tc>
        <w:tc>
          <w:tcPr>
            <w:tcW w:w="2655" w:type="dxa"/>
            <w:tcBorders>
              <w:bottom w:val="single" w:color="auto" w:sz="4" w:space="0"/>
            </w:tcBorders>
            <w:vAlign w:val="center"/>
          </w:tcPr>
          <w:p w14:paraId="77E7787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2公斤（kg)</w:t>
            </w:r>
          </w:p>
        </w:tc>
        <w:tc>
          <w:tcPr>
            <w:tcW w:w="3120" w:type="dxa"/>
            <w:tcBorders>
              <w:bottom w:val="single" w:color="auto" w:sz="4" w:space="0"/>
            </w:tcBorders>
            <w:shd w:val="clear" w:color="auto" w:fill="auto"/>
            <w:vAlign w:val="center"/>
          </w:tcPr>
          <w:p w14:paraId="7B79B24B">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2</w:t>
            </w:r>
          </w:p>
        </w:tc>
      </w:tr>
      <w:tr w14:paraId="35D45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1" w:hRule="atLeast"/>
          <w:jc w:val="center"/>
        </w:trPr>
        <w:tc>
          <w:tcPr>
            <w:tcW w:w="702" w:type="dxa"/>
            <w:vMerge w:val="continue"/>
            <w:vAlign w:val="center"/>
          </w:tcPr>
          <w:p w14:paraId="5661EFC9">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5E0ECE71">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tcBorders>
              <w:top w:val="single" w:color="auto" w:sz="4" w:space="0"/>
              <w:bottom w:val="single" w:color="auto" w:sz="4" w:space="0"/>
            </w:tcBorders>
            <w:vAlign w:val="center"/>
          </w:tcPr>
          <w:p w14:paraId="771B0BB5">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3公斤（kg)</w:t>
            </w:r>
          </w:p>
        </w:tc>
        <w:tc>
          <w:tcPr>
            <w:tcW w:w="3120" w:type="dxa"/>
            <w:tcBorders>
              <w:top w:val="single" w:color="auto" w:sz="4" w:space="0"/>
              <w:bottom w:val="single" w:color="auto" w:sz="4" w:space="0"/>
            </w:tcBorders>
            <w:shd w:val="clear" w:color="auto" w:fill="auto"/>
            <w:vAlign w:val="center"/>
          </w:tcPr>
          <w:p w14:paraId="55E543F4">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24</w:t>
            </w:r>
          </w:p>
        </w:tc>
      </w:tr>
      <w:tr w14:paraId="18BF2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9" w:hRule="atLeast"/>
          <w:jc w:val="center"/>
        </w:trPr>
        <w:tc>
          <w:tcPr>
            <w:tcW w:w="702" w:type="dxa"/>
            <w:vMerge w:val="continue"/>
            <w:vAlign w:val="center"/>
          </w:tcPr>
          <w:p w14:paraId="691684B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285CE437">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tcBorders>
              <w:top w:val="single" w:color="auto" w:sz="4" w:space="0"/>
            </w:tcBorders>
            <w:vAlign w:val="center"/>
          </w:tcPr>
          <w:p w14:paraId="0ADA4299">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5公斤（kg)</w:t>
            </w:r>
          </w:p>
        </w:tc>
        <w:tc>
          <w:tcPr>
            <w:tcW w:w="3120" w:type="dxa"/>
            <w:tcBorders>
              <w:top w:val="single" w:color="auto" w:sz="4" w:space="0"/>
              <w:bottom w:val="single" w:color="auto" w:sz="4" w:space="0"/>
            </w:tcBorders>
            <w:shd w:val="clear" w:color="auto" w:fill="auto"/>
            <w:vAlign w:val="center"/>
          </w:tcPr>
          <w:p w14:paraId="280BA8DD">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428</w:t>
            </w:r>
          </w:p>
        </w:tc>
      </w:tr>
      <w:tr w14:paraId="294E9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702" w:type="dxa"/>
            <w:vMerge w:val="continue"/>
            <w:vAlign w:val="center"/>
          </w:tcPr>
          <w:p w14:paraId="7A539095">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3011" w:type="dxa"/>
            <w:vMerge w:val="continue"/>
            <w:vAlign w:val="center"/>
          </w:tcPr>
          <w:p w14:paraId="7922E6C9">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p>
        </w:tc>
        <w:tc>
          <w:tcPr>
            <w:tcW w:w="2655" w:type="dxa"/>
            <w:vAlign w:val="center"/>
          </w:tcPr>
          <w:p w14:paraId="09DF8FC5">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24公斤（kg)</w:t>
            </w:r>
          </w:p>
        </w:tc>
        <w:tc>
          <w:tcPr>
            <w:tcW w:w="3120" w:type="dxa"/>
            <w:tcBorders>
              <w:top w:val="single" w:color="auto" w:sz="4" w:space="0"/>
              <w:bottom w:val="single" w:color="auto" w:sz="4" w:space="0"/>
            </w:tcBorders>
            <w:shd w:val="clear" w:color="auto" w:fill="auto"/>
            <w:vAlign w:val="center"/>
          </w:tcPr>
          <w:p w14:paraId="68F2B8C4">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1</w:t>
            </w:r>
          </w:p>
        </w:tc>
      </w:tr>
      <w:tr w14:paraId="60725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6" w:hRule="atLeast"/>
          <w:jc w:val="center"/>
        </w:trPr>
        <w:tc>
          <w:tcPr>
            <w:tcW w:w="9488" w:type="dxa"/>
            <w:gridSpan w:val="4"/>
            <w:vAlign w:val="center"/>
          </w:tcPr>
          <w:p w14:paraId="174A6AA5">
            <w:pPr>
              <w:keepNext w:val="0"/>
              <w:keepLines w:val="0"/>
              <w:pageBreakBefore w:val="0"/>
              <w:widowControl w:val="0"/>
              <w:kinsoku/>
              <w:wordWrap/>
              <w:overflowPunct/>
              <w:topLinePunct w:val="0"/>
              <w:autoSpaceDE/>
              <w:autoSpaceDN/>
              <w:bidi w:val="0"/>
              <w:adjustRightInd/>
              <w:snapToGrid/>
              <w:spacing w:before="63" w:beforeLines="20" w:after="157" w:afterLines="50" w:line="520" w:lineRule="exact"/>
              <w:jc w:val="left"/>
              <w:textAlignment w:val="auto"/>
              <w:rPr>
                <w:rFonts w:hint="eastAsia" w:ascii="仿宋" w:hAnsi="仿宋" w:eastAsia="仿宋" w:cs="仿宋"/>
                <w:lang w:val="en-US" w:eastAsia="zh-CN"/>
              </w:rPr>
            </w:pPr>
            <w:r>
              <w:rPr>
                <w:rFonts w:hint="eastAsia" w:ascii="仿宋" w:hAnsi="仿宋" w:eastAsia="仿宋" w:cs="仿宋"/>
                <w:lang w:val="en-US" w:eastAsia="zh-CN"/>
              </w:rPr>
              <w:t>注：上述各类灭火器需按消防管理部门要求进行维修换药工作，工作标准和频次以满足国家或行业最新有关规定及标准和院方要求为准。</w:t>
            </w:r>
          </w:p>
        </w:tc>
      </w:tr>
    </w:tbl>
    <w:p w14:paraId="30FBE1B1">
      <w:pPr>
        <w:bidi w:val="0"/>
        <w:spacing w:line="440" w:lineRule="exact"/>
        <w:rPr>
          <w:rFonts w:hint="eastAsia" w:ascii="Times New Roman" w:hAnsi="Times New Roman" w:eastAsia="仿宋" w:cs="Times New Roman"/>
          <w:b/>
          <w:bCs/>
          <w:sz w:val="28"/>
          <w:szCs w:val="28"/>
        </w:rPr>
      </w:pPr>
      <w:r>
        <w:rPr>
          <w:rFonts w:hint="eastAsia" w:ascii="Times New Roman" w:hAnsi="Times New Roman" w:eastAsia="仿宋" w:cs="Times New Roman"/>
          <w:b/>
          <w:bCs/>
          <w:sz w:val="28"/>
          <w:szCs w:val="28"/>
          <w:lang w:eastAsia="zh-CN"/>
        </w:rPr>
        <w:t>二、</w:t>
      </w:r>
      <w:r>
        <w:rPr>
          <w:rFonts w:hint="eastAsia" w:ascii="Times New Roman" w:hAnsi="Times New Roman" w:eastAsia="仿宋" w:cs="Times New Roman"/>
          <w:b/>
          <w:bCs/>
          <w:sz w:val="28"/>
          <w:szCs w:val="28"/>
        </w:rPr>
        <w:t>交货时间：</w:t>
      </w:r>
    </w:p>
    <w:p w14:paraId="1C4B0352">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imes New Roman" w:hAnsi="Times New Roman" w:eastAsia="仿宋" w:cs="Times New Roman"/>
          <w:lang w:eastAsia="zh-CN"/>
        </w:rPr>
      </w:pPr>
      <w:r>
        <w:rPr>
          <w:rFonts w:hint="eastAsia" w:ascii="Times New Roman" w:hAnsi="Times New Roman" w:eastAsia="仿宋" w:cs="Times New Roman"/>
          <w:lang w:eastAsia="zh-CN"/>
        </w:rPr>
        <w:t>接甲方通知后</w:t>
      </w:r>
      <w:r>
        <w:rPr>
          <w:rFonts w:hint="eastAsia" w:ascii="Times New Roman" w:hAnsi="Times New Roman" w:eastAsia="仿宋" w:cs="Times New Roman"/>
          <w:lang w:val="en-US" w:eastAsia="zh-CN"/>
        </w:rPr>
        <w:t>7日内完成灭火器的维修更换及安装调试工作，如果要求分批供货，乙方也必须按照此条款进行。</w:t>
      </w:r>
    </w:p>
    <w:p w14:paraId="1BC0E0A1">
      <w:pPr>
        <w:bidi w:val="0"/>
        <w:spacing w:line="440" w:lineRule="exact"/>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三、交货地点：</w:t>
      </w:r>
    </w:p>
    <w:p w14:paraId="6DB0E403">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imes New Roman" w:hAnsi="Times New Roman" w:eastAsia="仿宋" w:cs="Times New Roman"/>
          <w:lang w:eastAsia="zh-CN"/>
        </w:rPr>
      </w:pPr>
      <w:r>
        <w:rPr>
          <w:rFonts w:hint="eastAsia" w:ascii="Times New Roman" w:hAnsi="Times New Roman" w:eastAsia="仿宋" w:cs="Times New Roman"/>
          <w:lang w:eastAsia="zh-CN"/>
        </w:rPr>
        <w:t>由乙方负责运输至甲方指定地点。</w:t>
      </w:r>
    </w:p>
    <w:p w14:paraId="07448AF6">
      <w:pPr>
        <w:bidi w:val="0"/>
        <w:spacing w:line="440" w:lineRule="exact"/>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四、质量要求、技术标准、乙方对质量负责的条件和期限：</w:t>
      </w:r>
    </w:p>
    <w:p w14:paraId="30BF4C01">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imes New Roman" w:hAnsi="Times New Roman" w:eastAsia="仿宋" w:cs="Times New Roman"/>
          <w:lang w:eastAsia="zh-CN"/>
        </w:rPr>
      </w:pPr>
      <w:r>
        <w:rPr>
          <w:rFonts w:hint="eastAsia" w:ascii="Times New Roman" w:hAnsi="Times New Roman" w:eastAsia="仿宋" w:cs="Times New Roman"/>
          <w:lang w:eastAsia="zh-CN"/>
        </w:rPr>
        <w:t>1.乙方所提供的货物，若技术性能无特殊说明，则按生产企业或国家有关部门最新颁布的标准及规范为准。</w:t>
      </w:r>
    </w:p>
    <w:p w14:paraId="3CC44F95">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imes New Roman" w:hAnsi="Times New Roman" w:eastAsia="仿宋" w:cs="Times New Roman"/>
          <w:lang w:eastAsia="zh-CN"/>
        </w:rPr>
      </w:pPr>
      <w:r>
        <w:rPr>
          <w:rFonts w:hint="eastAsia" w:ascii="Times New Roman" w:hAnsi="Times New Roman" w:eastAsia="仿宋" w:cs="Times New Roman"/>
          <w:lang w:eastAsia="zh-CN"/>
        </w:rPr>
        <w:t>2.乙方应保证货物是全新、未使用过的原装合格正品，并完全符合生产企业或国家规定的质量、规格和性能的要求。货物验收后，在质量保证期内，乙方应对由于设计、工艺或材料的缺陷所发生的任何不足或故障负责，所需费用由乙方承担。</w:t>
      </w:r>
    </w:p>
    <w:p w14:paraId="513F801C">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Times New Roman" w:hAnsi="Times New Roman" w:eastAsia="仿宋" w:cs="Times New Roman"/>
          <w:lang w:val="en-US" w:eastAsia="zh-CN"/>
        </w:rPr>
      </w:pPr>
      <w:r>
        <w:rPr>
          <w:rFonts w:hint="eastAsia" w:ascii="Times New Roman" w:hAnsi="Times New Roman" w:eastAsia="仿宋" w:cs="Times New Roman"/>
          <w:lang w:val="en-US" w:eastAsia="zh-CN"/>
        </w:rPr>
        <w:t>3、乙方须每月对其检过的灭火器进行巡检，并做好巡检记录报甲方备案。</w:t>
      </w:r>
    </w:p>
    <w:p w14:paraId="6C3408A2">
      <w:pPr>
        <w:bidi w:val="0"/>
        <w:spacing w:line="440" w:lineRule="exact"/>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五、验收标准</w:t>
      </w:r>
    </w:p>
    <w:p w14:paraId="66573B80">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1、乙方应当按照 XF 95-2015《灭火器维修》(以现行有效最新标准为准)相关要求执行，安装调试完成后7日内送至甲方指定地点，验收时乙方必须派专人在现场。由甲方派人监督乙方换粉，确保每具灭火器100%换粉，同时对货物进行验收，验收包括:型号、规格、数量、外观质量、压力、及货物包装是否完好，安装、调试是否合格。所提供货物的装箱清单、用户手册、原厂保修卡、随机资料及配件、随机工具等是否齐全。维修后的灭火器质量需符合国家及河南省相关消防规范要求，所维修的灭火器需符合各级单位检查。并提交灭火器维修合格证。</w:t>
      </w:r>
    </w:p>
    <w:p w14:paraId="2AD0F617">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2、乙方应按照 GB 55036-2022《消防设施通用规范》(以现行有效最新标准为准)相关要求执行，灭火器报废与回收处置。对达到报废标准灭火器，乙方向甲方提出经甲方同意并确认后，甲方负责回收处置，需更换新的灭火器乙方向甲方报价，甲方对乙方报价不认可甲方有权自行采购。</w:t>
      </w:r>
    </w:p>
    <w:p w14:paraId="040CABF6">
      <w:pPr>
        <w:bidi w:val="0"/>
        <w:spacing w:line="440" w:lineRule="exact"/>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七、售后服务</w:t>
      </w:r>
    </w:p>
    <w:p w14:paraId="6397AD6E">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1、灭火器维修完成后，免费对甲方人员进行技术培训，承诺12个月保修及终生服务。</w:t>
      </w:r>
    </w:p>
    <w:p w14:paraId="27BF0866">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2、要求24小时全天服务，通知乙方后须30分钟内到达现场，及时解决问题，并做好相关问题处理记录。</w:t>
      </w:r>
    </w:p>
    <w:p w14:paraId="5A2F5AB5">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3、乙方在维修的产品建立维修档案。实行跟踪卡售后服务管理。</w:t>
      </w:r>
      <w:bookmarkEnd w:id="0"/>
      <w:bookmarkEnd w:id="1"/>
    </w:p>
    <w:p w14:paraId="74C08E4F">
      <w:pPr>
        <w:bidi w:val="0"/>
        <w:spacing w:line="440" w:lineRule="exact"/>
        <w:rPr>
          <w:rFonts w:hint="eastAsia" w:ascii="Times New Roman" w:hAnsi="Times New Roman" w:eastAsia="仿宋" w:cs="Times New Roman"/>
          <w:b/>
          <w:bCs/>
          <w:sz w:val="28"/>
          <w:szCs w:val="28"/>
          <w:lang w:eastAsia="zh-CN"/>
        </w:rPr>
      </w:pPr>
      <w:r>
        <w:rPr>
          <w:rFonts w:hint="eastAsia" w:ascii="Times New Roman" w:hAnsi="Times New Roman" w:eastAsia="仿宋" w:cs="Times New Roman"/>
          <w:b/>
          <w:bCs/>
          <w:sz w:val="28"/>
          <w:szCs w:val="28"/>
          <w:lang w:eastAsia="zh-CN"/>
        </w:rPr>
        <w:t>八、其他服务要求</w:t>
      </w:r>
    </w:p>
    <w:p w14:paraId="73BC6C83">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8.1本项目所有维保充装服务实施全过程，严格遵照《灭火器维修》（XF 95-2015）、GB 55036-2022《消防设施通用规范》及国家、行业现行消防设备维修充装标准执行，建立标准化、规范化的现场实施工作流程。服务开展前对所有涉保灭火器开展全面前置检查，包含外观检查、密封性测试、筒体状态排查、配件检修、故障排查等基础工作；针对干粉类灭火器完成旧粉彻底清理、罐体全方位清洁、全新国标干粉药剂填充作业，针对水基型、二氧化碳灭火器完成老旧药剂置换、精准定量气体充装、设备压力校准作业，严控充装量、压力参数、药剂质量，杜绝压力异常、药剂不合格、参数偏差超标等问题。全程落实文明施工、安全作业管控要求，规范开展院内设备收集、转运、维保、归位作业，完工后完成全面自查核验、现场清理及成果交付，保障整体实施流程合规有序。</w:t>
      </w:r>
    </w:p>
    <w:p w14:paraId="6CE077DE">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8.2本项目建立完善的专项售后服务及应急保障体系，搭建适配本项目院区集中维保的服务机制与台账管理制度，服务期内持续保障全院灭火器处于合规完好状态。配备专属服务人员对接本项目，储备充足合规维保耗材、配套配件，保障日常维保、设备维修的快速补给与落地处置。严格落实质保期服务标准，按规范完成常态化巡检、设备状态核查、定期运维回访工作，对维保后出现的压力不足、药剂失效、设备故障等问题提供免费返修、重装保障。同时制定专项消防器材应急处置预案，针对院区灭火器突发失效、压力异常、设备破损等紧急情况，明确响应、处置、闭环全流程工作机制，快速处置各类设备隐患，保障院区消防安全。</w:t>
      </w:r>
    </w:p>
    <w:p w14:paraId="7214DA0E">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8.3服务商需针对本项目定制系统化专项培训方案，围绕消防器材维保规范、药剂充装要求、常见故障排查、现场安全作业等内容开展专项培训。针对项目服务人员开展全覆盖实操培训，确保作业人员熟练掌握各类灭火器检修、充装、维保、归位的标准化操作技能，熟练识别设备常见故障、基础隐患并完成初步处置。同时结合院区消防安全场景，开展应急处置培训，规范突发设备问题、现场安全隐患的处置流程，提升整体服务团队的应急处置能力，规避作业风险与消防安全隐患。</w:t>
      </w:r>
    </w:p>
    <w:p w14:paraId="33E9CCEB">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8.4所有更换、充装使用的灭火药剂、填充气体均为全新合格合规产品，具备完整出厂合格证明、药剂组分、纯度、性能指标符合国家现行标准，确保灭火性能达标、安全稳定、无质量隐患。全部维保充装作业完成后，逐具核验设备状态、充装参数、压力指标，统一粘贴合规维保合格标识，建立完整、可追溯的全院灭火器维保台账，包含设备编号、位置、类型、维保内容、充装日期、有效期等完整信息，整理全套验收资料移交甲方归档。</w:t>
      </w:r>
    </w:p>
    <w:p w14:paraId="25D40772">
      <w:pPr>
        <w:keepNext w:val="0"/>
        <w:keepLines w:val="0"/>
        <w:pageBreakBefore w:val="0"/>
        <w:widowControl w:val="0"/>
        <w:kinsoku/>
        <w:wordWrap/>
        <w:overflowPunct/>
        <w:topLinePunct w:val="0"/>
        <w:autoSpaceDE w:val="0"/>
        <w:autoSpaceDN/>
        <w:bidi w:val="0"/>
        <w:adjustRightInd/>
        <w:snapToGrid w:val="0"/>
        <w:spacing w:line="520" w:lineRule="exact"/>
        <w:ind w:firstLine="480" w:firstLineChars="200"/>
        <w:textAlignment w:val="auto"/>
        <w:rPr>
          <w:rFonts w:hint="eastAsia" w:ascii="仿宋" w:hAnsi="仿宋" w:eastAsia="仿宋" w:cs="仿宋"/>
          <w:b w:val="0"/>
          <w:bCs w:val="0"/>
          <w:color w:val="auto"/>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8.5本项目为全包式维保服务，包含人工、搬运、检修、维修、药剂、气体、配件更换、台账制作、税费、现场清理等所有相关费用，服务期内无任何隐形收费、额外增收项目。整体服务质量满足消防验收及日常安全管理要求，保障全院灭火器在服务期内持续处于合规、完好、有效可用的安全状态，顺利通过各级消防检查及专项核验。</w:t>
      </w:r>
    </w:p>
    <w:p w14:paraId="7589586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textAlignment w:val="auto"/>
        <w:rPr>
          <w:rFonts w:hint="eastAsia" w:ascii="仿宋" w:hAnsi="仿宋" w:eastAsia="仿宋" w:cs="仿宋"/>
          <w:b/>
          <w:bCs/>
          <w:color w:val="auto"/>
          <w:sz w:val="28"/>
          <w:szCs w:val="28"/>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4"/>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DF165F"/>
    <w:rsid w:val="00EA4F99"/>
    <w:rsid w:val="0FAC65D3"/>
    <w:rsid w:val="1D384826"/>
    <w:rsid w:val="20DF165F"/>
    <w:rsid w:val="241F3FA3"/>
    <w:rsid w:val="2446705A"/>
    <w:rsid w:val="375B2943"/>
    <w:rsid w:val="49AE74AB"/>
    <w:rsid w:val="49CB29E2"/>
    <w:rsid w:val="4A077580"/>
    <w:rsid w:val="532927F6"/>
    <w:rsid w:val="542C4D81"/>
    <w:rsid w:val="59FE796A"/>
    <w:rsid w:val="656E020E"/>
    <w:rsid w:val="775F730A"/>
    <w:rsid w:val="79175A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jc w:val="left"/>
    </w:pPr>
    <w:rPr>
      <w:rFonts w:ascii="新宋体" w:hAnsi="新宋体" w:eastAsia="新宋体" w:cs="宋体"/>
      <w:kern w:val="2"/>
      <w:sz w:val="24"/>
      <w:szCs w:val="24"/>
      <w:lang w:val="en-US" w:eastAsia="zh-CN" w:bidi="ar-SA"/>
    </w:rPr>
  </w:style>
  <w:style w:type="paragraph" w:styleId="3">
    <w:name w:val="heading 1"/>
    <w:next w:val="1"/>
    <w:qFormat/>
    <w:uiPriority w:val="0"/>
    <w:pPr>
      <w:keepNext/>
      <w:keepLines/>
      <w:spacing w:beforeLines="0" w:beforeAutospacing="0" w:afterLines="0" w:afterAutospacing="0" w:line="360" w:lineRule="auto"/>
      <w:jc w:val="center"/>
      <w:outlineLvl w:val="0"/>
    </w:pPr>
    <w:rPr>
      <w:rFonts w:ascii="Calibri" w:hAnsi="Calibri" w:eastAsia="新宋体" w:cstheme="minorBidi"/>
      <w:kern w:val="44"/>
      <w:sz w:val="44"/>
    </w:rPr>
  </w:style>
  <w:style w:type="paragraph" w:styleId="4">
    <w:name w:val="heading 2"/>
    <w:next w:val="1"/>
    <w:semiHidden/>
    <w:unhideWhenUsed/>
    <w:qFormat/>
    <w:uiPriority w:val="0"/>
    <w:pPr>
      <w:keepNext/>
      <w:keepLines/>
      <w:numPr>
        <w:ilvl w:val="1"/>
        <w:numId w:val="1"/>
      </w:numPr>
      <w:spacing w:line="360" w:lineRule="auto"/>
      <w:jc w:val="center"/>
      <w:outlineLvl w:val="1"/>
    </w:pPr>
    <w:rPr>
      <w:rFonts w:ascii="Arial" w:hAnsi="Arial" w:eastAsia="新宋体" w:cstheme="minorBidi"/>
      <w:bCs/>
      <w:kern w:val="0"/>
      <w:sz w:val="36"/>
      <w:szCs w:val="32"/>
    </w:rPr>
  </w:style>
  <w:style w:type="paragraph" w:styleId="5">
    <w:name w:val="heading 3"/>
    <w:next w:val="1"/>
    <w:semiHidden/>
    <w:unhideWhenUsed/>
    <w:qFormat/>
    <w:uiPriority w:val="0"/>
    <w:pPr>
      <w:keepNext/>
      <w:keepLines/>
      <w:spacing w:beforeLines="0" w:beforeAutospacing="0" w:afterLines="0" w:afterAutospacing="0" w:line="360" w:lineRule="auto"/>
      <w:outlineLvl w:val="2"/>
    </w:pPr>
    <w:rPr>
      <w:rFonts w:ascii="Calibri" w:hAnsi="Calibri" w:eastAsia="新宋体" w:cstheme="minorBidi"/>
      <w:sz w:val="32"/>
    </w:rPr>
  </w:style>
  <w:style w:type="paragraph" w:styleId="6">
    <w:name w:val="heading 4"/>
    <w:next w:val="1"/>
    <w:semiHidden/>
    <w:unhideWhenUsed/>
    <w:qFormat/>
    <w:uiPriority w:val="0"/>
    <w:pPr>
      <w:keepNext/>
      <w:keepLines/>
      <w:spacing w:beforeLines="0" w:beforeAutospacing="0" w:afterLines="0" w:afterAutospacing="0" w:line="360" w:lineRule="auto"/>
      <w:outlineLvl w:val="3"/>
    </w:pPr>
    <w:rPr>
      <w:rFonts w:ascii="Arial" w:hAnsi="Arial" w:eastAsia="新宋体" w:cstheme="minorBidi"/>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Body Text Indent"/>
    <w:basedOn w:val="1"/>
    <w:next w:val="8"/>
    <w:qFormat/>
    <w:uiPriority w:val="0"/>
    <w:pPr>
      <w:spacing w:after="120"/>
      <w:ind w:left="420" w:leftChars="200"/>
    </w:pPr>
  </w:style>
  <w:style w:type="paragraph" w:styleId="8">
    <w:name w:val="envelope return"/>
    <w:basedOn w:val="1"/>
    <w:qFormat/>
    <w:uiPriority w:val="0"/>
    <w:pPr>
      <w:snapToGrid w:val="0"/>
    </w:pPr>
    <w:rPr>
      <w:rFonts w:ascii="Arial" w:hAnsi="Arial"/>
    </w:rPr>
  </w:style>
  <w:style w:type="paragraph" w:styleId="9">
    <w:name w:val="Body Text First Indent 2"/>
    <w:basedOn w:val="7"/>
    <w:next w:val="1"/>
    <w:qFormat/>
    <w:uiPriority w:val="0"/>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 w:type="table" w:customStyle="1" w:styleId="14">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1400</Words>
  <Characters>1479</Characters>
  <Lines>0</Lines>
  <Paragraphs>0</Paragraphs>
  <TotalTime>0</TotalTime>
  <ScaleCrop>false</ScaleCrop>
  <LinksUpToDate>false</LinksUpToDate>
  <CharactersWithSpaces>1479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2026-01-13T03:13:00Z</dcterms:created>
  <dc:creator>WPS_1559697855</dc:creator>
  <cp:lastModifiedBy>中建山河</cp:lastModifiedBy>
  <dcterms:modified xsi:type="dcterms:W3CDTF">2026-08-25T07:57:07Z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3D298379233D4F4682736DAF596D4CD7_11</vt:lpwstr>
  </property>
  <property fmtid="{D5CDD505-2E9C-101B-9397-08002B2CF9AE}" pid="4" name="KSOTemplateDocerSaveRecord">
    <vt:lpwstr>eyJoZGlkIjoiNWU5NGI0OTc0YzRmOWI3MTQ2YmRiN2IxN2JlZjY3NDMiLCJ1c2VySWQiOiIyMzM5Nzg4NjMifQ==</vt:lpwstr>
  </property>
</Properties>
</file>