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06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firstLine="643" w:firstLineChars="200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项目采购需求</w:t>
      </w:r>
    </w:p>
    <w:tbl>
      <w:tblPr>
        <w:tblStyle w:val="12"/>
        <w:tblW w:w="9390" w:type="dxa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1305"/>
        <w:gridCol w:w="6833"/>
      </w:tblGrid>
      <w:tr w14:paraId="11D57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52" w:type="dxa"/>
            <w:vAlign w:val="center"/>
          </w:tcPr>
          <w:p w14:paraId="2E61885E">
            <w:pPr>
              <w:shd w:val="clear"/>
              <w:spacing w:line="360" w:lineRule="auto"/>
              <w:ind w:firstLine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4"/>
                <w:szCs w:val="24"/>
                <w:lang w:val="en-US" w:eastAsia="zh-CN" w:bidi="ar"/>
              </w:rPr>
              <w:t>服务类型</w:t>
            </w:r>
          </w:p>
        </w:tc>
        <w:tc>
          <w:tcPr>
            <w:tcW w:w="1305" w:type="dxa"/>
            <w:vAlign w:val="center"/>
          </w:tcPr>
          <w:p w14:paraId="52DFE744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4"/>
                <w:szCs w:val="24"/>
                <w:lang w:val="en-US" w:eastAsia="zh-CN" w:bidi="ar"/>
              </w:rPr>
              <w:t>服务项目</w:t>
            </w:r>
          </w:p>
        </w:tc>
        <w:tc>
          <w:tcPr>
            <w:tcW w:w="6833" w:type="dxa"/>
            <w:vAlign w:val="center"/>
          </w:tcPr>
          <w:p w14:paraId="054040D4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4"/>
                <w:szCs w:val="24"/>
                <w:lang w:val="en-US" w:eastAsia="zh-CN" w:bidi="ar"/>
              </w:rPr>
              <w:t>具体内容</w:t>
            </w:r>
          </w:p>
        </w:tc>
      </w:tr>
      <w:tr w14:paraId="681FE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restart"/>
            <w:vAlign w:val="center"/>
          </w:tcPr>
          <w:p w14:paraId="0EBC5AE1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24小时</w:t>
            </w:r>
          </w:p>
          <w:p w14:paraId="7DE0E720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舆情监测服务</w:t>
            </w:r>
          </w:p>
        </w:tc>
        <w:tc>
          <w:tcPr>
            <w:tcW w:w="1305" w:type="dxa"/>
            <w:vAlign w:val="center"/>
          </w:tcPr>
          <w:p w14:paraId="299B94D5">
            <w:pPr>
              <w:shd w:val="clear"/>
              <w:spacing w:line="360" w:lineRule="auto"/>
              <w:ind w:firstLine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信息监测</w:t>
            </w:r>
          </w:p>
        </w:tc>
        <w:tc>
          <w:tcPr>
            <w:tcW w:w="6833" w:type="dxa"/>
            <w:vAlign w:val="center"/>
          </w:tcPr>
          <w:p w14:paraId="588D3FD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7×24小时系统监测。乙方提供互联网舆情监测系统及服务，利用先进的舆情监测技术和大数据分析工具，对各大网站、论坛、微博、公众号、客户端、视频、数字报等进行数据收集汇总。涉甲方（含所有科室、职工个人）相关舆情信息进行全天候不间断监测，监测范围覆盖全国各类信息源平台，包括但不限于：</w:t>
            </w:r>
          </w:p>
          <w:p w14:paraId="346DECD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新闻资讯类：中央及地方新闻网站、新闻客户端、今日头条等；</w:t>
            </w:r>
          </w:p>
          <w:p w14:paraId="6481F98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社交互动类：微信公众号、微博、抖音、快手、小红书、主流论坛等；</w:t>
            </w:r>
          </w:p>
          <w:p w14:paraId="2F3BD3A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政务留言类：人民网领导留言板、地方政务互动留言板等；</w:t>
            </w:r>
          </w:p>
          <w:p w14:paraId="5C03B15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医疗垂直类：知乎、丁香园、春雨医生等医疗健康论坛、在线问诊平台；</w:t>
            </w:r>
          </w:p>
          <w:p w14:paraId="0E9F38A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本地生活类：美团、大众点评等本地评价类平台；</w:t>
            </w:r>
          </w:p>
          <w:p w14:paraId="6A29ABF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院内阵地类：甲方及河南心血管病中心（国家心血管病中心华中分中心）（以下简称“分中心”）官方平台、所有科室和职工个人自媒体账号。</w:t>
            </w:r>
          </w:p>
        </w:tc>
      </w:tr>
      <w:tr w14:paraId="65B87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vAlign w:val="center"/>
          </w:tcPr>
          <w:p w14:paraId="7FFF62C1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C006C0E">
            <w:pPr>
              <w:shd w:val="clear"/>
              <w:spacing w:line="360" w:lineRule="auto"/>
              <w:ind w:firstLine="0" w:firstLineChars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关键词设置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1C2E790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根据甲方业务重点及监测要求，乙方设置监测关键词，在此基础上进行数据收集和分析研判。关键词应根据甲方实际工作开展情况不断调整和优化。同时支持自定义设置监测关键词，包括医院名称、科室、专家姓名、特色医疗服务、疾病名称、药品器械、行业敏感词、敏感事件主题等，支持关键词之间多层级逻辑关系设置，可设立专项舆情监测方案，并根据甲方需求随时调整监测策略。</w:t>
            </w:r>
          </w:p>
          <w:p w14:paraId="4532162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实行双重复核机制：对系统监测结果采用AI智能识别与人工复核双重校验机制，保障监测信息的准确性。</w:t>
            </w:r>
          </w:p>
        </w:tc>
      </w:tr>
      <w:tr w14:paraId="21890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vAlign w:val="center"/>
          </w:tcPr>
          <w:p w14:paraId="53074345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14:paraId="429F555F">
            <w:pPr>
              <w:shd w:val="clear"/>
              <w:spacing w:line="360" w:lineRule="auto"/>
              <w:ind w:firstLine="0" w:firstLineChars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统计分析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43F5FFF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乙方对舆情数据进行深度分析，展示舆情热度指数、传播趋势、舆情信息走势、信息来源分布、舆论情感分析、影响力评估、用户特征分析等统计数据。并将监测到的舆情信息进行存储，建立历史数据库，以便甲方随时查询和回溯。</w:t>
            </w:r>
          </w:p>
        </w:tc>
      </w:tr>
      <w:tr w14:paraId="0F7A2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vAlign w:val="center"/>
          </w:tcPr>
          <w:p w14:paraId="6643D3AB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05" w:type="dxa"/>
            <w:vMerge w:val="continue"/>
            <w:shd w:val="clear" w:color="auto" w:fill="auto"/>
            <w:vAlign w:val="center"/>
          </w:tcPr>
          <w:p w14:paraId="4F2CF052">
            <w:pPr>
              <w:shd w:val="clear"/>
              <w:spacing w:line="360" w:lineRule="auto"/>
              <w:ind w:firstLine="0" w:firstLineChars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6833" w:type="dxa"/>
            <w:shd w:val="clear" w:color="auto" w:fill="auto"/>
            <w:vAlign w:val="center"/>
          </w:tcPr>
          <w:p w14:paraId="3AE24FF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实行多维度智能分析：</w:t>
            </w:r>
          </w:p>
          <w:p w14:paraId="47604FA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院内自媒体账号内容研判：覆盖监测甲方及分中心官方平台、所有科室与个人自媒体账号的公开发布内容、评论区回复及公众互动言论。对未呈现明确负面倾向、但存在私自回应、专业表述不规范、信息发布越权等隐性风险的内容，由专职舆情分析师开展人工复核与合规研判，及时识别潜在舆论隐患，同步提示相关责任主体规范账号运营与对外发言标准。</w:t>
            </w:r>
          </w:p>
          <w:p w14:paraId="18A2A2B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情感分析：自动判别舆情信息的情感倾向，区分正面、负面、中性言论，以直观图表展示各情感占比。</w:t>
            </w:r>
          </w:p>
          <w:p w14:paraId="67C63FB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话题分类：对舆情信息按不同维度分类，清晰呈现不同话题热度及发展趋势。</w:t>
            </w:r>
          </w:p>
          <w:p w14:paraId="46CDE4F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传播分析：深度剖析舆情传播路径，追溯信息首发源头，展示转发层级、传播节点影响力，评估舆情扩散范围与速度。</w:t>
            </w:r>
          </w:p>
          <w:p w14:paraId="6F28A97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行业动态分析：及时梳理国内医疗卫生领域舆论动态与政策动向，助力甲方掌握行业舆论环境。</w:t>
            </w:r>
          </w:p>
        </w:tc>
      </w:tr>
      <w:tr w14:paraId="34759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vAlign w:val="center"/>
          </w:tcPr>
          <w:p w14:paraId="242387E9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6939B4C">
            <w:pPr>
              <w:shd w:val="clear"/>
              <w:spacing w:line="360" w:lineRule="auto"/>
              <w:ind w:firstLine="0" w:firstLineChars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全维度数据采集能力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39CF37B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多类型采集：支持对新闻网站、论坛、微博等平台的网页快照、评论、网站跟帖进行实时采集；</w:t>
            </w:r>
          </w:p>
          <w:p w14:paraId="1396739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多平台采集：实现微信等封闭生态系统的信息采集；</w:t>
            </w:r>
          </w:p>
          <w:p w14:paraId="00F2E89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多语种采集：支持简体中文、繁体中文、英文等多种语言的信息采集；搜索引擎补充：通过主流搜索引擎接口对遗漏信息进行补充采集，保障信息全面性。</w:t>
            </w:r>
          </w:p>
        </w:tc>
      </w:tr>
      <w:tr w14:paraId="48C4B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restart"/>
            <w:vAlign w:val="center"/>
          </w:tcPr>
          <w:p w14:paraId="1136BFF6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人工监控预警及推送服务</w:t>
            </w:r>
          </w:p>
        </w:tc>
        <w:tc>
          <w:tcPr>
            <w:tcW w:w="1305" w:type="dxa"/>
            <w:vAlign w:val="center"/>
          </w:tcPr>
          <w:p w14:paraId="38693EDF">
            <w:pPr>
              <w:shd w:val="clear"/>
              <w:spacing w:line="360" w:lineRule="auto"/>
              <w:ind w:firstLine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实时预警</w:t>
            </w:r>
          </w:p>
        </w:tc>
        <w:tc>
          <w:tcPr>
            <w:tcW w:w="6833" w:type="dxa"/>
            <w:vAlign w:val="center"/>
          </w:tcPr>
          <w:p w14:paraId="03762D6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乙方基于系统监测和人工筛选，不间断地监控和抓取全网范围内舆情信息，一旦发现随时上报，确保能够第一时间发现重大、敏感舆情。</w:t>
            </w:r>
          </w:p>
        </w:tc>
      </w:tr>
      <w:tr w14:paraId="09385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vAlign w:val="center"/>
          </w:tcPr>
          <w:p w14:paraId="60EFAFFF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64BB7FA9">
            <w:pPr>
              <w:shd w:val="clear"/>
              <w:spacing w:line="360" w:lineRule="auto"/>
              <w:ind w:firstLine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人工推送</w:t>
            </w:r>
          </w:p>
        </w:tc>
        <w:tc>
          <w:tcPr>
            <w:tcW w:w="6833" w:type="dxa"/>
            <w:vAlign w:val="center"/>
          </w:tcPr>
          <w:p w14:paraId="67B79C7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乙方提供专业、全职、高效的报送团队，在合同期内实现人工精准化信息预警。首次抓取信息后，由专职舆情监测员进行人工二次筛选，并通过短信、微信、邮箱等方式及时为甲方发送提醒。</w:t>
            </w:r>
          </w:p>
        </w:tc>
      </w:tr>
      <w:tr w14:paraId="77544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restart"/>
            <w:vAlign w:val="center"/>
          </w:tcPr>
          <w:p w14:paraId="1EEA1018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专业舆情报告分析服务</w:t>
            </w:r>
          </w:p>
        </w:tc>
        <w:tc>
          <w:tcPr>
            <w:tcW w:w="1305" w:type="dxa"/>
            <w:vAlign w:val="center"/>
          </w:tcPr>
          <w:p w14:paraId="14A0B5B5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分级分类报告输出</w:t>
            </w:r>
          </w:p>
        </w:tc>
        <w:tc>
          <w:tcPr>
            <w:tcW w:w="6833" w:type="dxa"/>
            <w:vAlign w:val="center"/>
          </w:tcPr>
          <w:p w14:paraId="2D75C88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1.日常舆情报送：配备专职舆情分析师，每日对涉院敏感舆情信息进行监测、筛选、整理、报送，提供线上沟通、舆情研判及专业处置意见。</w:t>
            </w:r>
          </w:p>
          <w:p w14:paraId="5E4BDB8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2.舆情月报：编写月度报告，展示每月舆情数据传播情况，包括全网信息量、平台信息走势、信息来源分布、敏感信息占比及环比、媒体类型分布等数据信息及舆情整体态势分析，并提出研判建议。</w:t>
            </w:r>
          </w:p>
          <w:p w14:paraId="5F8BF4E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3.舆情年报：梳理总结全年数据传播情况，报告包括全网信息量、各平台信息走势、信息来源分布，敏感信息占比及环比、媒体类型分布、活跃媒体TOP、热点事件TOP、关键词云图及重点事件分析，并提出研判建议。</w:t>
            </w:r>
          </w:p>
        </w:tc>
      </w:tr>
      <w:tr w14:paraId="01B37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vAlign w:val="center"/>
          </w:tcPr>
          <w:p w14:paraId="5AF48BE6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0CADF6F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重大舆情专报</w:t>
            </w:r>
          </w:p>
        </w:tc>
        <w:tc>
          <w:tcPr>
            <w:tcW w:w="6833" w:type="dxa"/>
            <w:vAlign w:val="center"/>
          </w:tcPr>
          <w:p w14:paraId="5A328E7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对特定重大舆情事件或话题进行跟踪监测，全面分析背景成因、发展脉络、舆情焦点，提供舆情研判和应对策略建议。</w:t>
            </w:r>
          </w:p>
        </w:tc>
      </w:tr>
      <w:tr w14:paraId="7327C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vAlign w:val="center"/>
          </w:tcPr>
          <w:p w14:paraId="38141499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5F0CB735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常规应急响应支撑</w:t>
            </w:r>
          </w:p>
        </w:tc>
        <w:tc>
          <w:tcPr>
            <w:tcW w:w="6833" w:type="dxa"/>
            <w:vAlign w:val="center"/>
          </w:tcPr>
          <w:p w14:paraId="43EAD21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乙方基于系统监测和人工筛选，不间断地监控和抓取全网范围内舆情信息，一旦发现</w:t>
            </w:r>
            <w:r>
              <w:rPr>
                <w:rFonts w:hint="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立即报告甲方</w:t>
            </w: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，确保能够第一时间发现重大、敏感舆情，并预估处置效果，为甲方应对工作提供专业支撑。</w:t>
            </w:r>
          </w:p>
        </w:tc>
      </w:tr>
      <w:tr w14:paraId="736A4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restart"/>
            <w:vAlign w:val="center"/>
          </w:tcPr>
          <w:p w14:paraId="122AB340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舆情引导处置服务</w:t>
            </w:r>
          </w:p>
        </w:tc>
        <w:tc>
          <w:tcPr>
            <w:tcW w:w="1305" w:type="dxa"/>
            <w:vAlign w:val="center"/>
          </w:tcPr>
          <w:p w14:paraId="25AF7C77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风险研判</w:t>
            </w:r>
          </w:p>
        </w:tc>
        <w:tc>
          <w:tcPr>
            <w:tcW w:w="6833" w:type="dxa"/>
            <w:vAlign w:val="center"/>
          </w:tcPr>
          <w:p w14:paraId="0FB301A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合同期内，对于甲方所面临的可能存在舆情风险的事件（如重要文件出台、重大工作开展前后），乙方应根据需要给予风险点评估，在事前形成舆情风险研判报告，并提出指导建议。</w:t>
            </w:r>
          </w:p>
        </w:tc>
      </w:tr>
      <w:tr w14:paraId="52303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vAlign w:val="center"/>
          </w:tcPr>
          <w:p w14:paraId="2C23AF77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B8EB7A8">
            <w:pPr>
              <w:shd w:val="clear"/>
              <w:spacing w:line="360" w:lineRule="auto"/>
              <w:ind w:firstLine="0" w:firstLineChars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舆论引导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77496DA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当甲方发生舆情时，乙方应利用自身资源、技术优势，开展突发网络舆情引导，通过多种形式、多个平台及时发布相关信息，对主流媒体及各大网站、论坛、微博等网络平台的舆论进行正向引导，最大限度降低和消除负面舆情不利影响。</w:t>
            </w:r>
          </w:p>
        </w:tc>
      </w:tr>
      <w:tr w14:paraId="2577E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vAlign w:val="center"/>
          </w:tcPr>
          <w:p w14:paraId="4F614196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6A17CC4">
            <w:pPr>
              <w:shd w:val="clear"/>
              <w:spacing w:line="360" w:lineRule="auto"/>
              <w:ind w:firstLine="0" w:firstLineChars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处置回应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67E1281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在舆情事件发生后，乙方应根据舆情态势及具体情况，提供专业化处置建议和方法，参与舆情处置策略制定、回应信息发布、媒体沟通等环节。</w:t>
            </w:r>
          </w:p>
        </w:tc>
      </w:tr>
      <w:tr w14:paraId="7F2D1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vAlign w:val="center"/>
          </w:tcPr>
          <w:p w14:paraId="70A6AA95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5015AF5">
            <w:pPr>
              <w:shd w:val="clear"/>
              <w:spacing w:line="360" w:lineRule="auto"/>
              <w:ind w:firstLine="0" w:firstLineChars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专家支持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31E45B1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在舆情事件应对过程中，乙方应组建由舆情专家、媒体人员等组成的应急专家小组，提供专业化回应意见，并全程参与应对处置。</w:t>
            </w:r>
          </w:p>
        </w:tc>
      </w:tr>
      <w:tr w14:paraId="32E3D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vAlign w:val="center"/>
          </w:tcPr>
          <w:p w14:paraId="2C349397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963F726">
            <w:pPr>
              <w:shd w:val="clear"/>
              <w:spacing w:line="360" w:lineRule="auto"/>
              <w:ind w:firstLine="0" w:firstLineChars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舆情复盘与效果评估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1C54BF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对舆情事件进行全方位分析复盘，对比处置前后舆情数据变化，评估处置措施有效性，出具复盘报告，为后续舆情管理提供参考。</w:t>
            </w:r>
          </w:p>
        </w:tc>
      </w:tr>
      <w:tr w14:paraId="7DB66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Merge w:val="continue"/>
            <w:vAlign w:val="center"/>
          </w:tcPr>
          <w:p w14:paraId="06CCD97F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E3614DB">
            <w:pPr>
              <w:shd w:val="clear"/>
              <w:spacing w:line="360" w:lineRule="auto"/>
              <w:ind w:firstLine="0" w:firstLineChars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重大舆情专项处置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595145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针对传播范围广、社会关注度高、可能造成较大影响的重大负面舆情，实行一事一议专项工作机制</w:t>
            </w:r>
            <w:r>
              <w:rPr>
                <w:rFonts w:hint="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。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由资深舆情分析师牵头组建专项跟进小组，开展全时段跟踪监测、全维度动态研判，协助甲方进行舆情处置及口碑管理，提供专业建议，防范舆情次生扩散与持续升级。</w:t>
            </w:r>
          </w:p>
        </w:tc>
      </w:tr>
      <w:tr w14:paraId="7079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vAlign w:val="center"/>
          </w:tcPr>
          <w:p w14:paraId="0AB89701">
            <w:pPr>
              <w:shd w:val="clear"/>
              <w:spacing w:line="360" w:lineRule="auto"/>
              <w:ind w:firstLine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舆情培训指导服务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C640505">
            <w:pPr>
              <w:shd w:val="clear"/>
              <w:spacing w:line="360" w:lineRule="auto"/>
              <w:ind w:firstLine="0" w:firstLineChars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业务指导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6313B7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snapToGrid/>
                <w:color w:val="auto"/>
                <w:kern w:val="0"/>
                <w:sz w:val="21"/>
                <w:szCs w:val="21"/>
                <w:lang w:val="en-US" w:eastAsia="zh-CN" w:bidi="ar"/>
              </w:rPr>
              <w:t>合同期内，乙方应根据甲方需要，安排舆情专家数名，协助甲方开展舆情培训。培训内容包括网络舆情处理实践、舆论引导技巧、媒体关系处理等。</w:t>
            </w:r>
          </w:p>
        </w:tc>
      </w:tr>
    </w:tbl>
    <w:p w14:paraId="2927ABB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color w:val="auto"/>
          <w:highlight w:val="none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5" w:h="16838"/>
      <w:pgMar w:top="1134" w:right="1247" w:bottom="1134" w:left="1417" w:header="850" w:footer="992" w:gutter="0"/>
      <w:pgNumType w:fmt="decimal"/>
      <w:cols w:space="0" w:num="1"/>
      <w:rtlGutter w:val="0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7F10F">
    <w:pPr>
      <w:tabs>
        <w:tab w:val="center" w:pos="4153"/>
        <w:tab w:val="right" w:pos="8306"/>
      </w:tabs>
      <w:spacing w:line="360" w:lineRule="auto"/>
      <w:jc w:val="left"/>
      <w:rPr>
        <w:rFonts w:ascii="宋体" w:hAnsi="宋体" w:eastAsia="宋体" w:cs="宋体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EF8461">
                          <w:pPr>
                            <w:pStyle w:val="9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EF8461">
                    <w:pPr>
                      <w:pStyle w:val="9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5A5D6">
    <w:pPr>
      <w:spacing w:after="0" w:line="36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9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A4EBC"/>
    <w:rsid w:val="00BE7797"/>
    <w:rsid w:val="05777F14"/>
    <w:rsid w:val="06085010"/>
    <w:rsid w:val="0A23028F"/>
    <w:rsid w:val="154C4F1A"/>
    <w:rsid w:val="165B0C93"/>
    <w:rsid w:val="17FC1CFA"/>
    <w:rsid w:val="1B2D4292"/>
    <w:rsid w:val="20651585"/>
    <w:rsid w:val="210E2311"/>
    <w:rsid w:val="211F34E2"/>
    <w:rsid w:val="26C1503C"/>
    <w:rsid w:val="28ED3D5F"/>
    <w:rsid w:val="295E61D7"/>
    <w:rsid w:val="2A804D0C"/>
    <w:rsid w:val="2DA10D95"/>
    <w:rsid w:val="2DB72CF5"/>
    <w:rsid w:val="2F132D02"/>
    <w:rsid w:val="30DA5678"/>
    <w:rsid w:val="3B320BC8"/>
    <w:rsid w:val="3E5F6F20"/>
    <w:rsid w:val="466B496B"/>
    <w:rsid w:val="468E1296"/>
    <w:rsid w:val="472D2CE1"/>
    <w:rsid w:val="48606233"/>
    <w:rsid w:val="4ED4505D"/>
    <w:rsid w:val="570A7ED6"/>
    <w:rsid w:val="5A940BB2"/>
    <w:rsid w:val="5BB46942"/>
    <w:rsid w:val="5D7874FB"/>
    <w:rsid w:val="6051650D"/>
    <w:rsid w:val="64B61035"/>
    <w:rsid w:val="68A33FC6"/>
    <w:rsid w:val="692A466F"/>
    <w:rsid w:val="6ADA6B65"/>
    <w:rsid w:val="6F5C6C7D"/>
    <w:rsid w:val="70F71533"/>
    <w:rsid w:val="73221C61"/>
    <w:rsid w:val="77251541"/>
    <w:rsid w:val="7B72146D"/>
    <w:rsid w:val="7C09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left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jc w:val="center"/>
      <w:outlineLvl w:val="1"/>
    </w:pPr>
    <w:rPr>
      <w:rFonts w:ascii="宋体" w:hAnsi="宋体" w:eastAsia="宋体"/>
      <w:b/>
      <w:bCs/>
      <w:sz w:val="24"/>
      <w:szCs w:val="24"/>
    </w:rPr>
  </w:style>
  <w:style w:type="paragraph" w:styleId="5">
    <w:name w:val="heading 3"/>
    <w:next w:val="1"/>
    <w:qFormat/>
    <w:uiPriority w:val="0"/>
    <w:pPr>
      <w:keepNext/>
      <w:keepLines/>
      <w:widowControl/>
      <w:spacing w:before="120" w:after="80"/>
      <w:outlineLvl w:val="2"/>
    </w:pPr>
    <w:rPr>
      <w:rFonts w:ascii="Times New Roman" w:hAnsi="Times New Roman" w:eastAsia="黑体" w:cs="Times New Roman"/>
      <w:b/>
      <w:bCs/>
      <w:color w:val="000000"/>
      <w:sz w:val="28"/>
      <w:szCs w:val="28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6">
    <w:name w:val="toa heading"/>
    <w:basedOn w:val="1"/>
    <w:next w:val="1"/>
    <w:qFormat/>
    <w:uiPriority w:val="99"/>
    <w:pPr>
      <w:spacing w:before="120" w:after="120"/>
    </w:pPr>
    <w:rPr>
      <w:rFonts w:ascii="Arial" w:hAnsi="Arial"/>
      <w:sz w:val="24"/>
      <w:szCs w:val="20"/>
    </w:rPr>
  </w:style>
  <w:style w:type="paragraph" w:styleId="7">
    <w:name w:val="Body Text Indent"/>
    <w:basedOn w:val="1"/>
    <w:next w:val="8"/>
    <w:qFormat/>
    <w:uiPriority w:val="0"/>
    <w:pPr>
      <w:spacing w:after="120"/>
      <w:ind w:left="420" w:leftChars="200"/>
    </w:p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Body Text First Indent 2"/>
    <w:basedOn w:val="7"/>
    <w:next w:val="1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5">
    <w:name w:val="NormalCharacter"/>
    <w:qFormat/>
    <w:uiPriority w:val="0"/>
  </w:style>
  <w:style w:type="character" w:customStyle="1" w:styleId="16">
    <w:name w:val="font21"/>
    <w:basedOn w:val="1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17">
    <w:name w:val="正文1"/>
    <w:basedOn w:val="1"/>
    <w:qFormat/>
    <w:uiPriority w:val="0"/>
    <w:pPr>
      <w:adjustRightInd w:val="0"/>
      <w:spacing w:line="360" w:lineRule="atLeast"/>
      <w:textAlignment w:val="baseline"/>
    </w:pPr>
    <w:rPr>
      <w:rFonts w:ascii="宋体" w:hAnsi="Times New Roman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2801</Words>
  <Characters>2834</Characters>
  <Lines>0</Lines>
  <Paragraphs>0</Paragraphs>
  <TotalTime>0</TotalTime>
  <ScaleCrop>false</ScaleCrop>
  <LinksUpToDate>false</LinksUpToDate>
  <CharactersWithSpaces>2834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2026-04-30T07:25:00Z</dcterms:created>
  <dc:creator>Administrator</dc:creator>
  <cp:lastModifiedBy>NTKO</cp:lastModifiedBy>
  <dcterms:modified xsi:type="dcterms:W3CDTF">2026-08-28T03:33:23Z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eyJoZGlkIjoiMzM4YjRkNGQ0MTBjMGUwOWZlZGM5NzMxNGZmMzIwOWYiLCJ1c2VySWQiOiIyMzQ4Mzk4MTAifQ==</vt:lpwstr>
  </property>
  <property fmtid="{D5CDD505-2E9C-101B-9397-08002B2CF9AE}" pid="4" name="ICV">
    <vt:lpwstr>92E3325933BF4D1AAEAEDD11820C8EA3_12</vt:lpwstr>
  </property>
</Properties>
</file>