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7DA3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4"/>
          <w:szCs w:val="34"/>
          <w:highlight w:val="none"/>
          <w:lang w:val="en-US" w:eastAsia="zh-CN"/>
        </w:rPr>
        <w:t>阜外华中心血管病医院一氧化氮治疗仪采购项目采购需求</w:t>
      </w:r>
    </w:p>
    <w:tbl>
      <w:tblPr>
        <w:tblStyle w:val="16"/>
        <w:tblW w:w="999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0"/>
        <w:gridCol w:w="8431"/>
        <w:gridCol w:w="798"/>
      </w:tblGrid>
      <w:tr w14:paraId="264E70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  <w:jc w:val="center"/>
        </w:trPr>
        <w:tc>
          <w:tcPr>
            <w:tcW w:w="770" w:type="dxa"/>
            <w:vAlign w:val="center"/>
          </w:tcPr>
          <w:p w14:paraId="31FB12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bookmarkStart w:id="0" w:name="_GoBack"/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*一</w:t>
            </w:r>
          </w:p>
        </w:tc>
        <w:tc>
          <w:tcPr>
            <w:tcW w:w="8431" w:type="dxa"/>
            <w:vAlign w:val="center"/>
          </w:tcPr>
          <w:p w14:paraId="7BCB52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总体要求</w:t>
            </w:r>
          </w:p>
        </w:tc>
        <w:tc>
          <w:tcPr>
            <w:tcW w:w="798" w:type="dxa"/>
            <w:vAlign w:val="center"/>
          </w:tcPr>
          <w:p w14:paraId="61FB93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2FF60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7" w:hRule="atLeast"/>
          <w:jc w:val="center"/>
        </w:trPr>
        <w:tc>
          <w:tcPr>
            <w:tcW w:w="770" w:type="dxa"/>
            <w:vAlign w:val="center"/>
          </w:tcPr>
          <w:p w14:paraId="6C801A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8431" w:type="dxa"/>
            <w:vAlign w:val="center"/>
          </w:tcPr>
          <w:p w14:paraId="40FB3E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满足临床科室和安装场地要求，凡涉及设备安装及施工由中标方负责，提供交钥匙工程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，中标厂家按照医院要求安装到位(凡涉及安装及材料问题，标书上明确说明)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798" w:type="dxa"/>
            <w:vAlign w:val="center"/>
          </w:tcPr>
          <w:p w14:paraId="18DADB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具备</w:t>
            </w:r>
          </w:p>
        </w:tc>
      </w:tr>
      <w:tr w14:paraId="035AEC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0" w:hRule="atLeast"/>
          <w:jc w:val="center"/>
        </w:trPr>
        <w:tc>
          <w:tcPr>
            <w:tcW w:w="770" w:type="dxa"/>
            <w:vAlign w:val="center"/>
          </w:tcPr>
          <w:p w14:paraId="1E1614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8431" w:type="dxa"/>
            <w:vAlign w:val="center"/>
          </w:tcPr>
          <w:p w14:paraId="5070BD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1）提供产品有效的医疗器械注册证或备案凭证。并提供具有法律法规效力的证明材料，不限于所投产品的注册或委托检验报告、医疗器械产品技术要求、使用说明书或公开的彩页。</w:t>
            </w:r>
          </w:p>
          <w:p w14:paraId="000C50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2）投标人需具有有效的医疗器械经营许可证或备案凭证。</w:t>
            </w:r>
          </w:p>
          <w:p w14:paraId="3E3CC0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3）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进口产品需提供中英文对照的原版技术白皮书、产品授权书。</w:t>
            </w:r>
          </w:p>
        </w:tc>
        <w:tc>
          <w:tcPr>
            <w:tcW w:w="798" w:type="dxa"/>
            <w:vAlign w:val="center"/>
          </w:tcPr>
          <w:p w14:paraId="436154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具备</w:t>
            </w:r>
          </w:p>
        </w:tc>
      </w:tr>
      <w:tr w14:paraId="0E3AD6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8" w:hRule="atLeast"/>
          <w:jc w:val="center"/>
        </w:trPr>
        <w:tc>
          <w:tcPr>
            <w:tcW w:w="770" w:type="dxa"/>
            <w:vAlign w:val="center"/>
          </w:tcPr>
          <w:p w14:paraId="1359E1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8431" w:type="dxa"/>
            <w:vAlign w:val="center"/>
          </w:tcPr>
          <w:p w14:paraId="1C6D6C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仪器配备软件使用最新版本且终身免费升级，端口免费开放，能与我院各信息系统无缝对接。</w:t>
            </w:r>
          </w:p>
        </w:tc>
        <w:tc>
          <w:tcPr>
            <w:tcW w:w="798" w:type="dxa"/>
            <w:vAlign w:val="center"/>
          </w:tcPr>
          <w:p w14:paraId="4B69B4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具备</w:t>
            </w:r>
          </w:p>
        </w:tc>
      </w:tr>
      <w:tr w14:paraId="32EF0B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  <w:jc w:val="center"/>
        </w:trPr>
        <w:tc>
          <w:tcPr>
            <w:tcW w:w="770" w:type="dxa"/>
            <w:vAlign w:val="center"/>
          </w:tcPr>
          <w:p w14:paraId="2006FD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8431" w:type="dxa"/>
            <w:vAlign w:val="center"/>
          </w:tcPr>
          <w:p w14:paraId="3AFFE9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不得另外随机配置需要使用专用耗材或试剂的设备。</w:t>
            </w:r>
          </w:p>
        </w:tc>
        <w:tc>
          <w:tcPr>
            <w:tcW w:w="798" w:type="dxa"/>
            <w:vAlign w:val="center"/>
          </w:tcPr>
          <w:p w14:paraId="714986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具备</w:t>
            </w:r>
          </w:p>
        </w:tc>
      </w:tr>
      <w:tr w14:paraId="17D69E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  <w:jc w:val="center"/>
        </w:trPr>
        <w:tc>
          <w:tcPr>
            <w:tcW w:w="770" w:type="dxa"/>
            <w:vAlign w:val="center"/>
          </w:tcPr>
          <w:p w14:paraId="135A14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8431" w:type="dxa"/>
            <w:vAlign w:val="center"/>
          </w:tcPr>
          <w:p w14:paraId="237ED9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产品配套所需耗材的品牌、规格型号及单价，并提供注册证或备案凭证。</w:t>
            </w:r>
          </w:p>
        </w:tc>
        <w:tc>
          <w:tcPr>
            <w:tcW w:w="798" w:type="dxa"/>
            <w:vAlign w:val="center"/>
          </w:tcPr>
          <w:p w14:paraId="2D2377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具备</w:t>
            </w:r>
          </w:p>
        </w:tc>
      </w:tr>
      <w:tr w14:paraId="18B942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  <w:jc w:val="center"/>
        </w:trPr>
        <w:tc>
          <w:tcPr>
            <w:tcW w:w="770" w:type="dxa"/>
            <w:vAlign w:val="center"/>
          </w:tcPr>
          <w:p w14:paraId="01B7FF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8431" w:type="dxa"/>
            <w:vAlign w:val="center"/>
          </w:tcPr>
          <w:p w14:paraId="4E9E9D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数量：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2台</w:t>
            </w:r>
          </w:p>
        </w:tc>
        <w:tc>
          <w:tcPr>
            <w:tcW w:w="798" w:type="dxa"/>
            <w:vAlign w:val="center"/>
          </w:tcPr>
          <w:p w14:paraId="5643E5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具备</w:t>
            </w:r>
          </w:p>
        </w:tc>
      </w:tr>
      <w:tr w14:paraId="7800BF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  <w:jc w:val="center"/>
        </w:trPr>
        <w:tc>
          <w:tcPr>
            <w:tcW w:w="770" w:type="dxa"/>
            <w:vAlign w:val="center"/>
          </w:tcPr>
          <w:p w14:paraId="0E9996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二</w:t>
            </w:r>
          </w:p>
        </w:tc>
        <w:tc>
          <w:tcPr>
            <w:tcW w:w="8431" w:type="dxa"/>
            <w:vAlign w:val="center"/>
          </w:tcPr>
          <w:p w14:paraId="62C1B7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技术要求</w:t>
            </w:r>
          </w:p>
        </w:tc>
        <w:tc>
          <w:tcPr>
            <w:tcW w:w="798" w:type="dxa"/>
            <w:vAlign w:val="center"/>
          </w:tcPr>
          <w:p w14:paraId="69094F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</w:tr>
      <w:tr w14:paraId="4BE614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8" w:hRule="atLeast"/>
          <w:jc w:val="center"/>
        </w:trPr>
        <w:tc>
          <w:tcPr>
            <w:tcW w:w="770" w:type="dxa"/>
            <w:vAlign w:val="center"/>
          </w:tcPr>
          <w:p w14:paraId="7D3533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</w:t>
            </w:r>
          </w:p>
        </w:tc>
        <w:tc>
          <w:tcPr>
            <w:tcW w:w="8431" w:type="dxa"/>
            <w:vAlign w:val="center"/>
          </w:tcPr>
          <w:p w14:paraId="79C969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用途：通过输出流量和浓度可控的NO气体，供临床医师采用NO吸入疗法对肺动脉高压和急性肺损伤所致的呼吸衰竭进行治疗</w:t>
            </w:r>
            <w:r>
              <w:rPr>
                <w:rFonts w:hint="eastAsia" w:ascii="仿宋" w:hAnsi="仿宋" w:eastAsia="仿宋" w:cs="仿宋"/>
                <w:lang w:eastAsia="zh-CN"/>
              </w:rPr>
              <w:t>。</w:t>
            </w:r>
          </w:p>
        </w:tc>
        <w:tc>
          <w:tcPr>
            <w:tcW w:w="798" w:type="dxa"/>
            <w:vAlign w:val="center"/>
          </w:tcPr>
          <w:p w14:paraId="0EA63D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具备</w:t>
            </w:r>
          </w:p>
        </w:tc>
      </w:tr>
      <w:tr w14:paraId="227192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6" w:hRule="atLeast"/>
          <w:jc w:val="center"/>
        </w:trPr>
        <w:tc>
          <w:tcPr>
            <w:tcW w:w="770" w:type="dxa"/>
            <w:vAlign w:val="center"/>
          </w:tcPr>
          <w:p w14:paraId="257DB7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</w:t>
            </w:r>
          </w:p>
        </w:tc>
        <w:tc>
          <w:tcPr>
            <w:tcW w:w="8431" w:type="dxa"/>
            <w:vAlign w:val="center"/>
          </w:tcPr>
          <w:p w14:paraId="6F100B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适用于新生儿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和成人</w:t>
            </w:r>
            <w:r>
              <w:rPr>
                <w:rFonts w:hint="eastAsia" w:ascii="仿宋" w:hAnsi="仿宋" w:eastAsia="仿宋" w:cs="仿宋"/>
              </w:rPr>
              <w:t>持续肺动脉高压、急性窘迫综合症（ARDS）、先心病合并肺动脉高压（CHD+PH）、海水型呼吸窘迫综合症（SW-RDS）、高原肺水肿（HAPE）、慢性阻塞性肺疾病（COPD）、非典型性肺炎（SARS）、吸入性肺损伤等疾病</w:t>
            </w:r>
          </w:p>
        </w:tc>
        <w:tc>
          <w:tcPr>
            <w:tcW w:w="798" w:type="dxa"/>
            <w:vAlign w:val="center"/>
          </w:tcPr>
          <w:p w14:paraId="1E8436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具备</w:t>
            </w:r>
          </w:p>
        </w:tc>
      </w:tr>
      <w:tr w14:paraId="234B4E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6" w:hRule="atLeast"/>
          <w:jc w:val="center"/>
        </w:trPr>
        <w:tc>
          <w:tcPr>
            <w:tcW w:w="770" w:type="dxa"/>
            <w:vAlign w:val="center"/>
          </w:tcPr>
          <w:p w14:paraId="23B291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</w:t>
            </w:r>
          </w:p>
        </w:tc>
        <w:tc>
          <w:tcPr>
            <w:tcW w:w="8431" w:type="dxa"/>
            <w:vAlign w:val="center"/>
          </w:tcPr>
          <w:p w14:paraId="0DAC6A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能够与各品牌呼吸机配套使用，具备配气和监测功能</w:t>
            </w:r>
            <w:r>
              <w:rPr>
                <w:rFonts w:hint="eastAsia" w:ascii="仿宋" w:hAnsi="仿宋" w:eastAsia="仿宋" w:cs="仿宋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</w:rPr>
              <w:t>根据参数设定值来控制NO标气的输出流量，NO标气与呼吸机治疗气在气体混和装置中充分混和，组成含一定浓度一氧化氮的治疗气供给病人治疗</w:t>
            </w:r>
          </w:p>
        </w:tc>
        <w:tc>
          <w:tcPr>
            <w:tcW w:w="798" w:type="dxa"/>
            <w:vAlign w:val="center"/>
          </w:tcPr>
          <w:p w14:paraId="743D2B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具备</w:t>
            </w:r>
          </w:p>
        </w:tc>
      </w:tr>
      <w:tr w14:paraId="15DA11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7" w:hRule="atLeast"/>
          <w:jc w:val="center"/>
        </w:trPr>
        <w:tc>
          <w:tcPr>
            <w:tcW w:w="770" w:type="dxa"/>
            <w:vAlign w:val="center"/>
          </w:tcPr>
          <w:p w14:paraId="6F3737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4</w:t>
            </w:r>
          </w:p>
        </w:tc>
        <w:tc>
          <w:tcPr>
            <w:tcW w:w="8431" w:type="dxa"/>
            <w:vAlign w:val="center"/>
          </w:tcPr>
          <w:p w14:paraId="70454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监测部分</w:t>
            </w:r>
            <w:r>
              <w:rPr>
                <w:rFonts w:hint="eastAsia" w:ascii="仿宋" w:hAnsi="仿宋" w:eastAsia="仿宋" w:cs="仿宋"/>
                <w:lang w:eastAsia="zh-CN"/>
              </w:rPr>
              <w:t>：</w:t>
            </w:r>
            <w:r>
              <w:rPr>
                <w:rFonts w:hint="eastAsia" w:ascii="仿宋" w:hAnsi="仿宋" w:eastAsia="仿宋" w:cs="仿宋"/>
              </w:rPr>
              <w:t>采用传感器监测混和后治疗气中的NO和NO2浓度，一旦浓度超过一定的浓度限值，治疗仪自动关闭NO气体的输出并报警，而呼吸机照旧正常工作，保证治疗过程的安全</w:t>
            </w:r>
          </w:p>
        </w:tc>
        <w:tc>
          <w:tcPr>
            <w:tcW w:w="798" w:type="dxa"/>
            <w:vAlign w:val="center"/>
          </w:tcPr>
          <w:p w14:paraId="250F6C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具备</w:t>
            </w:r>
          </w:p>
        </w:tc>
      </w:tr>
      <w:tr w14:paraId="263E80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8" w:hRule="atLeast"/>
          <w:jc w:val="center"/>
        </w:trPr>
        <w:tc>
          <w:tcPr>
            <w:tcW w:w="770" w:type="dxa"/>
            <w:vAlign w:val="center"/>
          </w:tcPr>
          <w:p w14:paraId="632CF0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5</w:t>
            </w:r>
          </w:p>
        </w:tc>
        <w:tc>
          <w:tcPr>
            <w:tcW w:w="8431" w:type="dxa"/>
            <w:vAlign w:val="center"/>
          </w:tcPr>
          <w:p w14:paraId="039AFD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治疗气中一氧化氮浓度控制：治疗气中一氧化氮浓度控制与对应呼吸机参数值和NO标气浓度相关。最大可以配出的NO浓度为99.9ppm</w:t>
            </w:r>
          </w:p>
        </w:tc>
        <w:tc>
          <w:tcPr>
            <w:tcW w:w="798" w:type="dxa"/>
            <w:vAlign w:val="center"/>
          </w:tcPr>
          <w:p w14:paraId="6A0460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具备</w:t>
            </w:r>
          </w:p>
        </w:tc>
      </w:tr>
      <w:tr w14:paraId="67E5CB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  <w:jc w:val="center"/>
        </w:trPr>
        <w:tc>
          <w:tcPr>
            <w:tcW w:w="770" w:type="dxa"/>
            <w:vAlign w:val="center"/>
          </w:tcPr>
          <w:p w14:paraId="1B48C7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6</w:t>
            </w:r>
          </w:p>
        </w:tc>
        <w:tc>
          <w:tcPr>
            <w:tcW w:w="8431" w:type="dxa"/>
            <w:vAlign w:val="center"/>
          </w:tcPr>
          <w:p w14:paraId="616F23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NO标气输出流量控制：0~950mL/min连续可调，准确度≤±5%</w:t>
            </w:r>
          </w:p>
        </w:tc>
        <w:tc>
          <w:tcPr>
            <w:tcW w:w="798" w:type="dxa"/>
            <w:vAlign w:val="center"/>
          </w:tcPr>
          <w:p w14:paraId="4FF264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具备</w:t>
            </w:r>
          </w:p>
        </w:tc>
      </w:tr>
      <w:tr w14:paraId="74FA7C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  <w:jc w:val="center"/>
        </w:trPr>
        <w:tc>
          <w:tcPr>
            <w:tcW w:w="770" w:type="dxa"/>
            <w:vAlign w:val="center"/>
          </w:tcPr>
          <w:p w14:paraId="4B57A6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7</w:t>
            </w:r>
          </w:p>
        </w:tc>
        <w:tc>
          <w:tcPr>
            <w:tcW w:w="8431" w:type="dxa"/>
            <w:vAlign w:val="center"/>
          </w:tcPr>
          <w:p w14:paraId="59CC6A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监测范围：一氧化氮0ppm~100ppm;二氧化氮0ppm~10ppm</w:t>
            </w:r>
          </w:p>
        </w:tc>
        <w:tc>
          <w:tcPr>
            <w:tcW w:w="798" w:type="dxa"/>
            <w:vAlign w:val="center"/>
          </w:tcPr>
          <w:p w14:paraId="15618A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具备</w:t>
            </w:r>
          </w:p>
        </w:tc>
      </w:tr>
      <w:tr w14:paraId="409EB8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  <w:jc w:val="center"/>
        </w:trPr>
        <w:tc>
          <w:tcPr>
            <w:tcW w:w="770" w:type="dxa"/>
            <w:vAlign w:val="center"/>
          </w:tcPr>
          <w:p w14:paraId="394D60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8</w:t>
            </w:r>
          </w:p>
        </w:tc>
        <w:tc>
          <w:tcPr>
            <w:tcW w:w="8431" w:type="dxa"/>
            <w:vAlign w:val="center"/>
          </w:tcPr>
          <w:p w14:paraId="6195FC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监测准确度≤±5%</w:t>
            </w:r>
          </w:p>
        </w:tc>
        <w:tc>
          <w:tcPr>
            <w:tcW w:w="798" w:type="dxa"/>
            <w:vAlign w:val="center"/>
          </w:tcPr>
          <w:p w14:paraId="21E447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具备</w:t>
            </w:r>
          </w:p>
        </w:tc>
      </w:tr>
      <w:tr w14:paraId="17C0FB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  <w:jc w:val="center"/>
        </w:trPr>
        <w:tc>
          <w:tcPr>
            <w:tcW w:w="770" w:type="dxa"/>
            <w:vAlign w:val="center"/>
          </w:tcPr>
          <w:p w14:paraId="6EC81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9</w:t>
            </w:r>
          </w:p>
        </w:tc>
        <w:tc>
          <w:tcPr>
            <w:tcW w:w="8431" w:type="dxa"/>
            <w:vAlign w:val="center"/>
          </w:tcPr>
          <w:p w14:paraId="576136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监测报警点：NO：80ppm,NO2：5ppm</w:t>
            </w:r>
          </w:p>
        </w:tc>
        <w:tc>
          <w:tcPr>
            <w:tcW w:w="798" w:type="dxa"/>
            <w:vAlign w:val="center"/>
          </w:tcPr>
          <w:p w14:paraId="1F93AF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具备</w:t>
            </w:r>
          </w:p>
        </w:tc>
      </w:tr>
      <w:tr w14:paraId="20A78B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  <w:jc w:val="center"/>
        </w:trPr>
        <w:tc>
          <w:tcPr>
            <w:tcW w:w="770" w:type="dxa"/>
            <w:vAlign w:val="center"/>
          </w:tcPr>
          <w:p w14:paraId="4B5A7D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10</w:t>
            </w:r>
          </w:p>
        </w:tc>
        <w:tc>
          <w:tcPr>
            <w:tcW w:w="8431" w:type="dxa"/>
            <w:vAlign w:val="center"/>
          </w:tcPr>
          <w:p w14:paraId="4FD406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液晶显示器：</w:t>
            </w:r>
            <w:r>
              <w:rPr>
                <w:rFonts w:hint="eastAsia" w:ascii="仿宋" w:hAnsi="仿宋" w:eastAsia="仿宋" w:cs="仿宋"/>
              </w:rPr>
              <w:t>≧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6英寸</w:t>
            </w:r>
          </w:p>
        </w:tc>
        <w:tc>
          <w:tcPr>
            <w:tcW w:w="798" w:type="dxa"/>
            <w:vAlign w:val="center"/>
          </w:tcPr>
          <w:p w14:paraId="03612A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具备</w:t>
            </w:r>
          </w:p>
        </w:tc>
      </w:tr>
      <w:tr w14:paraId="46B9C8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  <w:jc w:val="center"/>
        </w:trPr>
        <w:tc>
          <w:tcPr>
            <w:tcW w:w="770" w:type="dxa"/>
            <w:vAlign w:val="center"/>
          </w:tcPr>
          <w:p w14:paraId="4CDADF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11</w:t>
            </w:r>
          </w:p>
        </w:tc>
        <w:tc>
          <w:tcPr>
            <w:tcW w:w="8431" w:type="dxa"/>
            <w:vAlign w:val="center"/>
          </w:tcPr>
          <w:p w14:paraId="47D16F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显示分辨率：浓度监测0.1ppm</w:t>
            </w:r>
            <w:r>
              <w:rPr>
                <w:rFonts w:hint="eastAsia" w:ascii="仿宋" w:hAnsi="仿宋" w:eastAsia="仿宋" w:cs="仿宋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</w:rPr>
              <w:t>流量监测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</w:rPr>
              <w:t>1mL/min</w:t>
            </w:r>
          </w:p>
        </w:tc>
        <w:tc>
          <w:tcPr>
            <w:tcW w:w="798" w:type="dxa"/>
            <w:vAlign w:val="center"/>
          </w:tcPr>
          <w:p w14:paraId="0B0B96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具备</w:t>
            </w:r>
          </w:p>
        </w:tc>
      </w:tr>
      <w:tr w14:paraId="236093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  <w:jc w:val="center"/>
        </w:trPr>
        <w:tc>
          <w:tcPr>
            <w:tcW w:w="770" w:type="dxa"/>
            <w:vAlign w:val="center"/>
          </w:tcPr>
          <w:p w14:paraId="0EF722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12</w:t>
            </w:r>
          </w:p>
        </w:tc>
        <w:tc>
          <w:tcPr>
            <w:tcW w:w="8431" w:type="dxa"/>
            <w:vAlign w:val="center"/>
          </w:tcPr>
          <w:p w14:paraId="6FE190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气泵抽气量：≧250mL/min</w:t>
            </w:r>
          </w:p>
        </w:tc>
        <w:tc>
          <w:tcPr>
            <w:tcW w:w="798" w:type="dxa"/>
            <w:vAlign w:val="center"/>
          </w:tcPr>
          <w:p w14:paraId="6290B5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具备</w:t>
            </w:r>
          </w:p>
        </w:tc>
      </w:tr>
      <w:tr w14:paraId="2C2486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  <w:jc w:val="center"/>
        </w:trPr>
        <w:tc>
          <w:tcPr>
            <w:tcW w:w="770" w:type="dxa"/>
            <w:vAlign w:val="center"/>
          </w:tcPr>
          <w:p w14:paraId="079ACC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#</w:t>
            </w:r>
            <w:r>
              <w:rPr>
                <w:rFonts w:hint="eastAsia" w:ascii="仿宋" w:hAnsi="仿宋" w:eastAsia="仿宋" w:cs="仿宋"/>
              </w:rPr>
              <w:t>13</w:t>
            </w:r>
          </w:p>
        </w:tc>
        <w:tc>
          <w:tcPr>
            <w:tcW w:w="8431" w:type="dxa"/>
            <w:vAlign w:val="center"/>
          </w:tcPr>
          <w:p w14:paraId="623438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使用瓶装NO供气，非专用耗材或消耗性部件产生NO气</w:t>
            </w:r>
          </w:p>
        </w:tc>
        <w:tc>
          <w:tcPr>
            <w:tcW w:w="798" w:type="dxa"/>
            <w:vAlign w:val="center"/>
          </w:tcPr>
          <w:p w14:paraId="35C9BD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具备</w:t>
            </w:r>
          </w:p>
        </w:tc>
      </w:tr>
      <w:tr w14:paraId="1D7FAB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  <w:jc w:val="center"/>
        </w:trPr>
        <w:tc>
          <w:tcPr>
            <w:tcW w:w="770" w:type="dxa"/>
            <w:vAlign w:val="center"/>
          </w:tcPr>
          <w:p w14:paraId="1CEA72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18</w:t>
            </w:r>
          </w:p>
        </w:tc>
        <w:tc>
          <w:tcPr>
            <w:tcW w:w="8431" w:type="dxa"/>
            <w:vAlign w:val="center"/>
          </w:tcPr>
          <w:p w14:paraId="29EF66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提供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可重复消毒的连接管路3套</w:t>
            </w:r>
          </w:p>
        </w:tc>
        <w:tc>
          <w:tcPr>
            <w:tcW w:w="798" w:type="dxa"/>
            <w:vAlign w:val="center"/>
          </w:tcPr>
          <w:p w14:paraId="404120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具备</w:t>
            </w:r>
          </w:p>
        </w:tc>
      </w:tr>
      <w:tr w14:paraId="0B29FA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  <w:jc w:val="center"/>
        </w:trPr>
        <w:tc>
          <w:tcPr>
            <w:tcW w:w="770" w:type="dxa"/>
            <w:vAlign w:val="center"/>
          </w:tcPr>
          <w:p w14:paraId="4439A6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19</w:t>
            </w:r>
          </w:p>
        </w:tc>
        <w:tc>
          <w:tcPr>
            <w:tcW w:w="8431" w:type="dxa"/>
            <w:vAlign w:val="center"/>
          </w:tcPr>
          <w:p w14:paraId="2773A4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提供主要零配件及耗材价格</w:t>
            </w:r>
          </w:p>
        </w:tc>
        <w:tc>
          <w:tcPr>
            <w:tcW w:w="798" w:type="dxa"/>
            <w:vAlign w:val="center"/>
          </w:tcPr>
          <w:p w14:paraId="5E1518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具备</w:t>
            </w:r>
          </w:p>
        </w:tc>
      </w:tr>
      <w:tr w14:paraId="0BA33C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  <w:jc w:val="center"/>
        </w:trPr>
        <w:tc>
          <w:tcPr>
            <w:tcW w:w="770" w:type="dxa"/>
            <w:vAlign w:val="center"/>
          </w:tcPr>
          <w:p w14:paraId="3FFA1D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三</w:t>
            </w:r>
          </w:p>
        </w:tc>
        <w:tc>
          <w:tcPr>
            <w:tcW w:w="8431" w:type="dxa"/>
            <w:vAlign w:val="center"/>
          </w:tcPr>
          <w:p w14:paraId="038CDA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技术及售后服务</w:t>
            </w:r>
          </w:p>
        </w:tc>
        <w:tc>
          <w:tcPr>
            <w:tcW w:w="798" w:type="dxa"/>
            <w:vAlign w:val="center"/>
          </w:tcPr>
          <w:p w14:paraId="515592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具备</w:t>
            </w:r>
          </w:p>
        </w:tc>
      </w:tr>
      <w:tr w14:paraId="40A183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  <w:jc w:val="center"/>
        </w:trPr>
        <w:tc>
          <w:tcPr>
            <w:tcW w:w="770" w:type="dxa"/>
            <w:vAlign w:val="center"/>
          </w:tcPr>
          <w:p w14:paraId="6834E7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*</w:t>
            </w:r>
            <w:r>
              <w:rPr>
                <w:rFonts w:hint="eastAsia" w:ascii="仿宋" w:hAnsi="仿宋" w:eastAsia="仿宋" w:cs="仿宋"/>
              </w:rPr>
              <w:t>1</w:t>
            </w:r>
          </w:p>
        </w:tc>
        <w:tc>
          <w:tcPr>
            <w:tcW w:w="8431" w:type="dxa"/>
            <w:vAlign w:val="center"/>
          </w:tcPr>
          <w:p w14:paraId="6CFCDE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保修期：5年 （自验收合格之日起）</w:t>
            </w:r>
          </w:p>
        </w:tc>
        <w:tc>
          <w:tcPr>
            <w:tcW w:w="798" w:type="dxa"/>
            <w:vAlign w:val="center"/>
          </w:tcPr>
          <w:p w14:paraId="16E177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具备</w:t>
            </w:r>
          </w:p>
        </w:tc>
      </w:tr>
      <w:tr w14:paraId="67A346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  <w:jc w:val="center"/>
        </w:trPr>
        <w:tc>
          <w:tcPr>
            <w:tcW w:w="770" w:type="dxa"/>
            <w:vAlign w:val="center"/>
          </w:tcPr>
          <w:p w14:paraId="22C91A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</w:t>
            </w:r>
          </w:p>
        </w:tc>
        <w:tc>
          <w:tcPr>
            <w:tcW w:w="8431" w:type="dxa"/>
            <w:vAlign w:val="center"/>
          </w:tcPr>
          <w:p w14:paraId="23EBA9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中标方应对设备操作及维修人员进行操作及维修培训</w:t>
            </w:r>
          </w:p>
        </w:tc>
        <w:tc>
          <w:tcPr>
            <w:tcW w:w="798" w:type="dxa"/>
            <w:vAlign w:val="center"/>
          </w:tcPr>
          <w:p w14:paraId="040CCA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具备</w:t>
            </w:r>
          </w:p>
        </w:tc>
      </w:tr>
      <w:tr w14:paraId="6E6B7A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7" w:hRule="atLeast"/>
          <w:jc w:val="center"/>
        </w:trPr>
        <w:tc>
          <w:tcPr>
            <w:tcW w:w="770" w:type="dxa"/>
            <w:vAlign w:val="center"/>
          </w:tcPr>
          <w:p w14:paraId="5A1A91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3</w:t>
            </w:r>
          </w:p>
        </w:tc>
        <w:tc>
          <w:tcPr>
            <w:tcW w:w="8431" w:type="dxa"/>
            <w:vAlign w:val="center"/>
          </w:tcPr>
          <w:p w14:paraId="6B92D5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维修保障：提供中文说明书、操作手册、详细维修手册、维修密码，软件系终身免费升级。</w:t>
            </w:r>
          </w:p>
        </w:tc>
        <w:tc>
          <w:tcPr>
            <w:tcW w:w="798" w:type="dxa"/>
            <w:vAlign w:val="center"/>
          </w:tcPr>
          <w:p w14:paraId="1006F3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具备</w:t>
            </w:r>
          </w:p>
        </w:tc>
      </w:tr>
      <w:tr w14:paraId="674684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  <w:jc w:val="center"/>
        </w:trPr>
        <w:tc>
          <w:tcPr>
            <w:tcW w:w="770" w:type="dxa"/>
            <w:vAlign w:val="center"/>
          </w:tcPr>
          <w:p w14:paraId="516C4C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4</w:t>
            </w:r>
          </w:p>
        </w:tc>
        <w:tc>
          <w:tcPr>
            <w:tcW w:w="8431" w:type="dxa"/>
            <w:vAlign w:val="center"/>
          </w:tcPr>
          <w:p w14:paraId="1470C4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生产日期为安装日期12个月内。</w:t>
            </w:r>
          </w:p>
        </w:tc>
        <w:tc>
          <w:tcPr>
            <w:tcW w:w="798" w:type="dxa"/>
            <w:vAlign w:val="center"/>
          </w:tcPr>
          <w:p w14:paraId="10702C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具备</w:t>
            </w:r>
          </w:p>
        </w:tc>
      </w:tr>
      <w:tr w14:paraId="0DC69F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6" w:hRule="atLeast"/>
          <w:jc w:val="center"/>
        </w:trPr>
        <w:tc>
          <w:tcPr>
            <w:tcW w:w="770" w:type="dxa"/>
            <w:vAlign w:val="center"/>
          </w:tcPr>
          <w:p w14:paraId="7CEB60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5</w:t>
            </w:r>
          </w:p>
        </w:tc>
        <w:tc>
          <w:tcPr>
            <w:tcW w:w="8431" w:type="dxa"/>
            <w:vAlign w:val="center"/>
          </w:tcPr>
          <w:p w14:paraId="03970D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一个月内非人为质量问题提供换货。设备出现故障时2个小时内响应并提供维修方案，24小时内到达现场，郑州有常驻工程师，提供工程师姓名及联系方式</w:t>
            </w:r>
            <w:r>
              <w:rPr>
                <w:rFonts w:hint="eastAsia" w:ascii="仿宋" w:hAnsi="仿宋" w:eastAsia="仿宋" w:cs="仿宋"/>
                <w:lang w:eastAsia="zh-CN"/>
              </w:rPr>
              <w:t>。</w:t>
            </w:r>
            <w:r>
              <w:rPr>
                <w:rFonts w:hint="eastAsia" w:ascii="仿宋" w:hAnsi="仿宋" w:eastAsia="仿宋" w:cs="仿宋"/>
              </w:rPr>
              <w:t>每年工程师提供至少4次的免费上门维护保养工作</w:t>
            </w:r>
            <w:r>
              <w:rPr>
                <w:rFonts w:hint="eastAsia" w:ascii="仿宋" w:hAnsi="仿宋" w:eastAsia="仿宋" w:cs="仿宋"/>
                <w:lang w:eastAsia="zh-CN"/>
              </w:rPr>
              <w:t>。</w:t>
            </w:r>
          </w:p>
        </w:tc>
        <w:tc>
          <w:tcPr>
            <w:tcW w:w="798" w:type="dxa"/>
            <w:vAlign w:val="center"/>
          </w:tcPr>
          <w:p w14:paraId="2DF072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具备</w:t>
            </w:r>
          </w:p>
        </w:tc>
      </w:tr>
      <w:tr w14:paraId="1F8A30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  <w:jc w:val="center"/>
        </w:trPr>
        <w:tc>
          <w:tcPr>
            <w:tcW w:w="770" w:type="dxa"/>
            <w:vAlign w:val="center"/>
          </w:tcPr>
          <w:p w14:paraId="4105EC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6</w:t>
            </w:r>
          </w:p>
        </w:tc>
        <w:tc>
          <w:tcPr>
            <w:tcW w:w="8431" w:type="dxa"/>
            <w:vAlign w:val="center"/>
          </w:tcPr>
          <w:p w14:paraId="68699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提供专业维修工具1套</w:t>
            </w:r>
          </w:p>
        </w:tc>
        <w:tc>
          <w:tcPr>
            <w:tcW w:w="798" w:type="dxa"/>
            <w:vAlign w:val="center"/>
          </w:tcPr>
          <w:p w14:paraId="1D2AA9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具备</w:t>
            </w:r>
          </w:p>
        </w:tc>
      </w:tr>
      <w:tr w14:paraId="1C0D52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770" w:type="dxa"/>
            <w:vAlign w:val="center"/>
          </w:tcPr>
          <w:p w14:paraId="5472CA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7</w:t>
            </w:r>
          </w:p>
        </w:tc>
        <w:tc>
          <w:tcPr>
            <w:tcW w:w="8431" w:type="dxa"/>
            <w:vAlign w:val="center"/>
          </w:tcPr>
          <w:p w14:paraId="2F60D2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到货时间：合同签订后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30</w:t>
            </w:r>
            <w:r>
              <w:rPr>
                <w:rFonts w:hint="eastAsia" w:ascii="仿宋" w:hAnsi="仿宋" w:eastAsia="仿宋" w:cs="仿宋"/>
              </w:rPr>
              <w:t>日历天</w:t>
            </w:r>
          </w:p>
        </w:tc>
        <w:tc>
          <w:tcPr>
            <w:tcW w:w="798" w:type="dxa"/>
            <w:vAlign w:val="center"/>
          </w:tcPr>
          <w:p w14:paraId="6A42D3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具备</w:t>
            </w:r>
          </w:p>
        </w:tc>
      </w:tr>
      <w:bookmarkEnd w:id="0"/>
    </w:tbl>
    <w:p w14:paraId="5D3FE078">
      <w:pPr>
        <w:ind w:right="-624" w:rightChars="-297" w:firstLine="6240" w:firstLineChars="4800"/>
        <w:rPr>
          <w:rFonts w:cs="Times New Roman"/>
          <w:sz w:val="13"/>
          <w:szCs w:val="13"/>
        </w:rPr>
      </w:pPr>
    </w:p>
    <w:sectPr>
      <w:footerReference r:id="rId3" w:type="default"/>
      <w:pgSz w:w="11906" w:h="16838"/>
      <w:pgMar w:top="850" w:right="720" w:bottom="567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6082B8">
    <w:pPr>
      <w:pStyle w:val="3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0793B26D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C5dblS0AAAAAUBAAAPAAAAAAAAAAEAIAAAACIAAABkcnMvZG93bnJldi54&#10;bWxQSwECFAAUAAAACACHTuJAAlies8kBAACSAwAADgAAAAAAAAABACAAAAAf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793B26D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831"/>
    <w:rsid w:val="000163DF"/>
    <w:rsid w:val="00055021"/>
    <w:rsid w:val="00087424"/>
    <w:rsid w:val="00121054"/>
    <w:rsid w:val="00173D59"/>
    <w:rsid w:val="001E03FE"/>
    <w:rsid w:val="002978A6"/>
    <w:rsid w:val="002B2097"/>
    <w:rsid w:val="002C0C39"/>
    <w:rsid w:val="002F219F"/>
    <w:rsid w:val="00327103"/>
    <w:rsid w:val="00363983"/>
    <w:rsid w:val="00365FE0"/>
    <w:rsid w:val="003F3DE1"/>
    <w:rsid w:val="004063DE"/>
    <w:rsid w:val="00487D83"/>
    <w:rsid w:val="004B2F68"/>
    <w:rsid w:val="00533847"/>
    <w:rsid w:val="00551781"/>
    <w:rsid w:val="00566B66"/>
    <w:rsid w:val="00587C8A"/>
    <w:rsid w:val="005E49E5"/>
    <w:rsid w:val="00600831"/>
    <w:rsid w:val="00662B0C"/>
    <w:rsid w:val="006F178D"/>
    <w:rsid w:val="007C5AA8"/>
    <w:rsid w:val="00836467"/>
    <w:rsid w:val="00852229"/>
    <w:rsid w:val="00987AFE"/>
    <w:rsid w:val="009A2ED1"/>
    <w:rsid w:val="00A95471"/>
    <w:rsid w:val="00AD2340"/>
    <w:rsid w:val="00AE089F"/>
    <w:rsid w:val="00BD3A14"/>
    <w:rsid w:val="00BF06D9"/>
    <w:rsid w:val="00BF7AA6"/>
    <w:rsid w:val="00D629A2"/>
    <w:rsid w:val="00DD10EC"/>
    <w:rsid w:val="00E8203C"/>
    <w:rsid w:val="00EA6A08"/>
    <w:rsid w:val="00F12600"/>
    <w:rsid w:val="00F34E81"/>
    <w:rsid w:val="00F3762B"/>
    <w:rsid w:val="00FE6BEC"/>
    <w:rsid w:val="03A073C3"/>
    <w:rsid w:val="06007B5A"/>
    <w:rsid w:val="08553B1A"/>
    <w:rsid w:val="0CD8573D"/>
    <w:rsid w:val="1242186E"/>
    <w:rsid w:val="133C55B9"/>
    <w:rsid w:val="14457ECD"/>
    <w:rsid w:val="17515F07"/>
    <w:rsid w:val="1B0F0870"/>
    <w:rsid w:val="1B5F73F1"/>
    <w:rsid w:val="1BAD4238"/>
    <w:rsid w:val="1E746F9E"/>
    <w:rsid w:val="296A3B7E"/>
    <w:rsid w:val="2A305142"/>
    <w:rsid w:val="2D490A2A"/>
    <w:rsid w:val="2E6969FB"/>
    <w:rsid w:val="3674665B"/>
    <w:rsid w:val="36DA7278"/>
    <w:rsid w:val="37CD622C"/>
    <w:rsid w:val="395A6DD7"/>
    <w:rsid w:val="3BE57EB5"/>
    <w:rsid w:val="3C6045F1"/>
    <w:rsid w:val="3C983CE2"/>
    <w:rsid w:val="3DA51E02"/>
    <w:rsid w:val="3E063449"/>
    <w:rsid w:val="3E3A5BA6"/>
    <w:rsid w:val="40B8127C"/>
    <w:rsid w:val="42944F92"/>
    <w:rsid w:val="447E7AAD"/>
    <w:rsid w:val="488F36A2"/>
    <w:rsid w:val="4A3B7E62"/>
    <w:rsid w:val="4DB33966"/>
    <w:rsid w:val="4EC36898"/>
    <w:rsid w:val="54C64B6C"/>
    <w:rsid w:val="56A75E3B"/>
    <w:rsid w:val="58EC2EF1"/>
    <w:rsid w:val="5A8915B4"/>
    <w:rsid w:val="5E90559E"/>
    <w:rsid w:val="5F941F59"/>
    <w:rsid w:val="67C95196"/>
    <w:rsid w:val="68BA0873"/>
    <w:rsid w:val="6B875B86"/>
    <w:rsid w:val="6CD265C5"/>
    <w:rsid w:val="6CFB0ED9"/>
    <w:rsid w:val="6EC05342"/>
    <w:rsid w:val="714D064B"/>
    <w:rsid w:val="74C60275"/>
    <w:rsid w:val="7711431F"/>
    <w:rsid w:val="7BF73D70"/>
    <w:rsid w:val="7E314768"/>
    <w:rsid w:val="7E8B3FF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qFormat="1" w:unhideWhenUsed="0" w:uiPriority="0" w:semiHidden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Elegant"/>
    <w:basedOn w:val="5"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  <w:rPr>
      <w:rFonts w:cs="Times New Roman"/>
    </w:rPr>
  </w:style>
  <w:style w:type="paragraph" w:customStyle="1" w:styleId="11">
    <w:name w:val="Table Paragraph"/>
    <w:basedOn w:val="1"/>
    <w:qFormat/>
    <w:uiPriority w:val="1"/>
    <w:pPr>
      <w:autoSpaceDE w:val="0"/>
      <w:autoSpaceDN w:val="0"/>
      <w:spacing w:before="101"/>
      <w:ind w:left="107"/>
      <w:jc w:val="center"/>
    </w:pPr>
    <w:rPr>
      <w:rFonts w:ascii="宋体" w:hAnsi="宋体"/>
      <w:kern w:val="0"/>
      <w:sz w:val="22"/>
      <w:lang w:eastAsia="en-US"/>
    </w:rPr>
  </w:style>
  <w:style w:type="character" w:customStyle="1" w:styleId="12">
    <w:name w:val="font2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3">
    <w:name w:val="font61"/>
    <w:basedOn w:val="7"/>
    <w:qFormat/>
    <w:uiPriority w:val="0"/>
    <w:rPr>
      <w:rFonts w:ascii="宋体" w:hAnsi="宋体" w:eastAsia="宋体" w:cs="宋体"/>
      <w:color w:val="000000"/>
      <w:sz w:val="20"/>
      <w:szCs w:val="20"/>
      <w:u w:val="none"/>
    </w:rPr>
  </w:style>
  <w:style w:type="character" w:customStyle="1" w:styleId="14">
    <w:name w:val="font1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5">
    <w:name w:val="font51"/>
    <w:basedOn w:val="7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table" w:customStyle="1" w:styleId="1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Win10NeT.COM</Company>
  <Pages>2</Pages>
  <Words>1377</Words>
  <Characters>1510</Characters>
  <Lines>11</Lines>
  <Paragraphs>3</Paragraphs>
  <TotalTime>0</TotalTime>
  <ScaleCrop>false</ScaleCrop>
  <LinksUpToDate>false</LinksUpToDate>
  <CharactersWithSpaces>1514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2021-04-27T02:27:00Z</dcterms:created>
  <dc:creator>admin</dc:creator>
  <cp:lastModifiedBy>韩姗姗</cp:lastModifiedBy>
  <cp:lastPrinted>2025-08-21T00:07:00Z</cp:lastPrinted>
  <dcterms:modified xsi:type="dcterms:W3CDTF">2026-09-21T07:26:13Z</dcterms:modified>
  <cp:revision>96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eyJoZGlkIjoiMTNmMmI4MzNhMDAxOWY1MzNkMTcxOWFiYjQ1MzUyYzEiLCJ1c2VySWQiOiIyNzk2ODc1NzcifQ==</vt:lpwstr>
  </property>
  <property fmtid="{D5CDD505-2E9C-101B-9397-08002B2CF9AE}" pid="3" name="KSOProductBuildVer">
    <vt:lpwstr>2052-12.1.0.28043</vt:lpwstr>
  </property>
  <property fmtid="{D5CDD505-2E9C-101B-9397-08002B2CF9AE}" pid="4" name="ICV">
    <vt:lpwstr>D75F0C288DFA46EFA160E5F84B16BC85_13</vt:lpwstr>
  </property>
</Properties>
</file>